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FF8" w:rsidRPr="00377102" w:rsidRDefault="00916FF8">
      <w:pPr>
        <w:jc w:val="right"/>
        <w:rPr>
          <w:rFonts w:cs="Miriam" w:hint="cs"/>
          <w:b/>
          <w:bCs/>
          <w:sz w:val="16"/>
          <w:szCs w:val="16"/>
          <w:u w:val="single"/>
        </w:rPr>
      </w:pPr>
    </w:p>
    <w:p w:rsidR="00916FF8" w:rsidRPr="00377102" w:rsidRDefault="00916FF8">
      <w:pPr>
        <w:jc w:val="right"/>
        <w:rPr>
          <w:rFonts w:cs="Miriam"/>
          <w:b/>
          <w:bCs/>
          <w:sz w:val="16"/>
          <w:szCs w:val="16"/>
          <w:u w:val="single"/>
        </w:rPr>
      </w:pPr>
    </w:p>
    <w:tbl>
      <w:tblPr>
        <w:bidiVisual/>
        <w:tblW w:w="8363" w:type="dxa"/>
        <w:tblInd w:w="9" w:type="dxa"/>
        <w:tblLook w:val="0000" w:firstRow="0" w:lastRow="0" w:firstColumn="0" w:lastColumn="0" w:noHBand="0" w:noVBand="0"/>
      </w:tblPr>
      <w:tblGrid>
        <w:gridCol w:w="8363"/>
      </w:tblGrid>
      <w:tr w:rsidR="00036227" w:rsidTr="0039709B">
        <w:tc>
          <w:tcPr>
            <w:tcW w:w="7848" w:type="dxa"/>
          </w:tcPr>
          <w:p w:rsidR="00916FF8" w:rsidRPr="00624A42" w:rsidRDefault="00FE4C74" w:rsidP="004C7868">
            <w:pPr>
              <w:pStyle w:val="FileNumber0"/>
              <w:rPr>
                <w:sz w:val="28"/>
                <w:u w:val="single"/>
                <w:rtl/>
              </w:rPr>
            </w:pPr>
            <w:r>
              <w:rPr>
                <w:u w:val="single"/>
                <w:rtl/>
              </w:rPr>
              <w:t>בבית המשפט העליון</w:t>
            </w:r>
          </w:p>
        </w:tc>
      </w:tr>
    </w:tbl>
    <w:p w:rsidR="00916FF8" w:rsidRDefault="00916FF8">
      <w:pPr>
        <w:jc w:val="right"/>
        <w:rPr>
          <w:rFonts w:cs="Miriam"/>
          <w:b/>
          <w:bCs/>
          <w:u w:val="single"/>
        </w:rPr>
      </w:pPr>
    </w:p>
    <w:tbl>
      <w:tblPr>
        <w:bidiVisual/>
        <w:tblW w:w="8363" w:type="dxa"/>
        <w:tblLook w:val="0000" w:firstRow="0" w:lastRow="0" w:firstColumn="0" w:lastColumn="0" w:noHBand="0" w:noVBand="0"/>
      </w:tblPr>
      <w:tblGrid>
        <w:gridCol w:w="8363"/>
      </w:tblGrid>
      <w:tr w:rsidR="00036227" w:rsidTr="0039709B">
        <w:trPr>
          <w:trHeight w:val="342"/>
        </w:trPr>
        <w:tc>
          <w:tcPr>
            <w:tcW w:w="9828" w:type="dxa"/>
          </w:tcPr>
          <w:p w:rsidR="00916FF8" w:rsidRPr="00810894" w:rsidRDefault="00FE4C74">
            <w:pPr>
              <w:pStyle w:val="FileNumber"/>
              <w:rPr>
                <w:sz w:val="28"/>
                <w:szCs w:val="28"/>
              </w:rPr>
            </w:pPr>
            <w:bookmarkStart w:id="0" w:name="casename_body"/>
            <w:proofErr w:type="spellStart"/>
            <w:r>
              <w:rPr>
                <w:sz w:val="28"/>
                <w:szCs w:val="28"/>
                <w:rtl/>
              </w:rPr>
              <w:t>בש"פ</w:t>
            </w:r>
            <w:proofErr w:type="spellEnd"/>
            <w:r>
              <w:rPr>
                <w:sz w:val="28"/>
                <w:szCs w:val="28"/>
                <w:rtl/>
              </w:rPr>
              <w:t xml:space="preserve">  5743/21</w:t>
            </w:r>
          </w:p>
        </w:tc>
      </w:tr>
      <w:bookmarkEnd w:id="0"/>
    </w:tbl>
    <w:p w:rsidR="00916FF8" w:rsidRDefault="00916FF8">
      <w:pPr>
        <w:jc w:val="right"/>
        <w:rPr>
          <w:rFonts w:cs="Miriam"/>
          <w:b/>
          <w:bCs/>
          <w:u w:val="single"/>
        </w:rPr>
      </w:pPr>
    </w:p>
    <w:tbl>
      <w:tblPr>
        <w:bidiVisual/>
        <w:tblW w:w="8364" w:type="dxa"/>
        <w:tblLayout w:type="fixed"/>
        <w:tblLook w:val="0000" w:firstRow="0" w:lastRow="0" w:firstColumn="0" w:lastColumn="0" w:noHBand="0" w:noVBand="0"/>
      </w:tblPr>
      <w:tblGrid>
        <w:gridCol w:w="3210"/>
        <w:gridCol w:w="5154"/>
      </w:tblGrid>
      <w:tr w:rsidR="00036227" w:rsidTr="00EC23AC">
        <w:trPr>
          <w:trHeight w:val="287"/>
        </w:trPr>
        <w:tc>
          <w:tcPr>
            <w:tcW w:w="3261" w:type="dxa"/>
          </w:tcPr>
          <w:p w:rsidR="00036227" w:rsidRDefault="00CB7600">
            <w:pPr>
              <w:pStyle w:val="BodyRuller"/>
              <w:rPr>
                <w:rFonts w:cs="Miriam"/>
                <w:b/>
                <w:bCs/>
                <w:u w:val="single"/>
              </w:rPr>
            </w:pPr>
            <w:r>
              <w:rPr>
                <w:rFonts w:hint="cs"/>
                <w:rtl/>
              </w:rPr>
              <w:t>ל</w:t>
            </w:r>
            <w:r w:rsidR="00036227">
              <w:rPr>
                <w:rtl/>
              </w:rPr>
              <w:t>פני:</w:t>
            </w:r>
            <w:r w:rsidR="00036227">
              <w:rPr>
                <w:rtl/>
              </w:rPr>
              <w:tab/>
            </w:r>
          </w:p>
        </w:tc>
        <w:tc>
          <w:tcPr>
            <w:tcW w:w="5239" w:type="dxa"/>
          </w:tcPr>
          <w:p w:rsidR="00036227" w:rsidRDefault="00FE4C74">
            <w:pPr>
              <w:pStyle w:val="BodyRuller"/>
            </w:pPr>
            <w:r>
              <w:rPr>
                <w:rtl/>
              </w:rPr>
              <w:t>כבוד השופט א' שטיין</w:t>
            </w:r>
          </w:p>
        </w:tc>
      </w:tr>
    </w:tbl>
    <w:p w:rsidR="00916FF8" w:rsidRDefault="00916FF8">
      <w:pPr>
        <w:pStyle w:val="Ruller3"/>
        <w:rPr>
          <w:rFonts w:cs="Miriam"/>
          <w:b/>
          <w:bCs/>
          <w:u w:val="single"/>
          <w:rtl/>
        </w:rPr>
      </w:pPr>
    </w:p>
    <w:tbl>
      <w:tblPr>
        <w:bidiVisual/>
        <w:tblW w:w="8364" w:type="dxa"/>
        <w:tblLayout w:type="fixed"/>
        <w:tblLook w:val="0000" w:firstRow="0" w:lastRow="0" w:firstColumn="0" w:lastColumn="0" w:noHBand="0" w:noVBand="0"/>
      </w:tblPr>
      <w:tblGrid>
        <w:gridCol w:w="3210"/>
        <w:gridCol w:w="5154"/>
      </w:tblGrid>
      <w:tr w:rsidR="00D00CB7" w:rsidTr="00DD6306">
        <w:trPr>
          <w:trHeight w:val="287"/>
        </w:trPr>
        <w:tc>
          <w:tcPr>
            <w:tcW w:w="3261" w:type="dxa"/>
          </w:tcPr>
          <w:p w:rsidR="00D00CB7" w:rsidRPr="00E75223" w:rsidRDefault="00FE4C74" w:rsidP="00DD6306">
            <w:pPr>
              <w:pStyle w:val="BodyRuller"/>
              <w:rPr>
                <w:rFonts w:ascii="David" w:hAnsi="David"/>
              </w:rPr>
            </w:pPr>
            <w:r>
              <w:rPr>
                <w:rFonts w:ascii="David" w:hAnsi="David"/>
                <w:rtl/>
              </w:rPr>
              <w:t>העורר</w:t>
            </w:r>
            <w:r w:rsidR="00135D52">
              <w:rPr>
                <w:rFonts w:ascii="David" w:hAnsi="David" w:hint="cs"/>
                <w:rtl/>
              </w:rPr>
              <w:t>ת</w:t>
            </w:r>
            <w:r>
              <w:rPr>
                <w:rFonts w:ascii="David" w:hAnsi="David"/>
                <w:rtl/>
              </w:rPr>
              <w:t>:</w:t>
            </w:r>
          </w:p>
        </w:tc>
        <w:tc>
          <w:tcPr>
            <w:tcW w:w="5239" w:type="dxa"/>
          </w:tcPr>
          <w:p w:rsidR="00D00CB7" w:rsidRDefault="00FE4C74" w:rsidP="00DD6306">
            <w:pPr>
              <w:pStyle w:val="BodyRuller"/>
            </w:pPr>
            <w:r>
              <w:rPr>
                <w:rtl/>
              </w:rPr>
              <w:t>מדינת ישראל</w:t>
            </w:r>
          </w:p>
        </w:tc>
      </w:tr>
    </w:tbl>
    <w:p w:rsidR="00D00CB7" w:rsidRDefault="00D00CB7">
      <w:pPr>
        <w:pStyle w:val="Ruller3"/>
      </w:pPr>
    </w:p>
    <w:tbl>
      <w:tblPr>
        <w:bidiVisual/>
        <w:tblW w:w="8363" w:type="dxa"/>
        <w:tblLook w:val="0000" w:firstRow="0" w:lastRow="0" w:firstColumn="0" w:lastColumn="0" w:noHBand="0" w:noVBand="0"/>
      </w:tblPr>
      <w:tblGrid>
        <w:gridCol w:w="3222"/>
        <w:gridCol w:w="5141"/>
      </w:tblGrid>
      <w:tr w:rsidR="00036227" w:rsidTr="0039709B">
        <w:tc>
          <w:tcPr>
            <w:tcW w:w="3284" w:type="dxa"/>
          </w:tcPr>
          <w:p w:rsidR="00036227" w:rsidRDefault="00036227">
            <w:pPr>
              <w:pStyle w:val="BodyRuller"/>
            </w:pPr>
          </w:p>
        </w:tc>
        <w:tc>
          <w:tcPr>
            <w:tcW w:w="5238" w:type="dxa"/>
          </w:tcPr>
          <w:p w:rsidR="00036227" w:rsidRDefault="00036227">
            <w:pPr>
              <w:pStyle w:val="BodyRuller"/>
            </w:pPr>
            <w:r>
              <w:rPr>
                <w:rFonts w:hint="cs"/>
                <w:rtl/>
              </w:rPr>
              <w:t>נ</w:t>
            </w:r>
            <w:r>
              <w:t xml:space="preserve">  </w:t>
            </w:r>
            <w:r>
              <w:rPr>
                <w:rFonts w:hint="cs"/>
                <w:rtl/>
              </w:rPr>
              <w:t>ג</w:t>
            </w:r>
            <w:r>
              <w:t xml:space="preserve">  </w:t>
            </w:r>
            <w:r>
              <w:rPr>
                <w:rFonts w:hint="cs"/>
                <w:rtl/>
              </w:rPr>
              <w:t>ד</w:t>
            </w:r>
          </w:p>
        </w:tc>
      </w:tr>
    </w:tbl>
    <w:p w:rsidR="00916FF8" w:rsidRDefault="00916FF8">
      <w:pPr>
        <w:pStyle w:val="Ruller3"/>
        <w:rPr>
          <w:rtl/>
        </w:rPr>
      </w:pPr>
    </w:p>
    <w:tbl>
      <w:tblPr>
        <w:bidiVisual/>
        <w:tblW w:w="8364" w:type="dxa"/>
        <w:tblLayout w:type="fixed"/>
        <w:tblLook w:val="0000" w:firstRow="0" w:lastRow="0" w:firstColumn="0" w:lastColumn="0" w:noHBand="0" w:noVBand="0"/>
      </w:tblPr>
      <w:tblGrid>
        <w:gridCol w:w="3210"/>
        <w:gridCol w:w="5154"/>
      </w:tblGrid>
      <w:tr w:rsidR="0083345F" w:rsidTr="00DD6306">
        <w:trPr>
          <w:trHeight w:val="287"/>
        </w:trPr>
        <w:tc>
          <w:tcPr>
            <w:tcW w:w="3261" w:type="dxa"/>
          </w:tcPr>
          <w:p w:rsidR="0083345F" w:rsidRPr="00E75223" w:rsidRDefault="00FE4C74" w:rsidP="00DD6306">
            <w:pPr>
              <w:pStyle w:val="BodyRuller"/>
              <w:rPr>
                <w:rFonts w:ascii="David" w:hAnsi="David"/>
              </w:rPr>
            </w:pPr>
            <w:r>
              <w:rPr>
                <w:rFonts w:ascii="David" w:hAnsi="David"/>
                <w:rtl/>
              </w:rPr>
              <w:t>המשיב:</w:t>
            </w:r>
          </w:p>
        </w:tc>
        <w:tc>
          <w:tcPr>
            <w:tcW w:w="5239" w:type="dxa"/>
          </w:tcPr>
          <w:p w:rsidR="0083345F" w:rsidRDefault="00FE4C74" w:rsidP="00DD6306">
            <w:pPr>
              <w:pStyle w:val="BodyRuller"/>
            </w:pPr>
            <w:r>
              <w:rPr>
                <w:rtl/>
              </w:rPr>
              <w:t xml:space="preserve">רומן </w:t>
            </w:r>
            <w:proofErr w:type="spellStart"/>
            <w:r>
              <w:rPr>
                <w:rtl/>
              </w:rPr>
              <w:t>זדורוב</w:t>
            </w:r>
            <w:proofErr w:type="spellEnd"/>
          </w:p>
        </w:tc>
      </w:tr>
    </w:tbl>
    <w:p w:rsidR="0083345F" w:rsidRDefault="0083345F">
      <w:pPr>
        <w:pStyle w:val="Ruller3"/>
      </w:pPr>
    </w:p>
    <w:tbl>
      <w:tblPr>
        <w:bidiVisual/>
        <w:tblW w:w="0" w:type="auto"/>
        <w:tblInd w:w="3209" w:type="dxa"/>
        <w:tblLook w:val="0000" w:firstRow="0" w:lastRow="0" w:firstColumn="0" w:lastColumn="0" w:noHBand="0" w:noVBand="0"/>
      </w:tblPr>
      <w:tblGrid>
        <w:gridCol w:w="5103"/>
      </w:tblGrid>
      <w:tr w:rsidR="00036227" w:rsidTr="00CA1444">
        <w:tc>
          <w:tcPr>
            <w:tcW w:w="5103" w:type="dxa"/>
          </w:tcPr>
          <w:p w:rsidR="00916FF8" w:rsidRPr="00265F6E" w:rsidRDefault="00135D52" w:rsidP="001E3FE7">
            <w:pPr>
              <w:pStyle w:val="BodyRuller"/>
              <w:jc w:val="both"/>
              <w:rPr>
                <w:sz w:val="24"/>
                <w:szCs w:val="24"/>
              </w:rPr>
            </w:pPr>
            <w:r w:rsidRPr="0060478E">
              <w:rPr>
                <w:rFonts w:hint="cs"/>
                <w:sz w:val="26"/>
                <w:szCs w:val="26"/>
                <w:rtl/>
              </w:rPr>
              <w:t>ערר לפי סעיף 53(א) לחוק סדר הדין הפלילי (סמכויות אכיפה – מעצרים), התשנ"ו-1996, על החלט</w:t>
            </w:r>
            <w:r>
              <w:rPr>
                <w:rFonts w:hint="cs"/>
                <w:sz w:val="26"/>
                <w:szCs w:val="26"/>
                <w:rtl/>
              </w:rPr>
              <w:t>ות</w:t>
            </w:r>
            <w:r w:rsidRPr="0060478E">
              <w:rPr>
                <w:rFonts w:hint="cs"/>
                <w:sz w:val="26"/>
                <w:szCs w:val="26"/>
                <w:rtl/>
              </w:rPr>
              <w:t xml:space="preserve"> שניתנ</w:t>
            </w:r>
            <w:r>
              <w:rPr>
                <w:rFonts w:hint="cs"/>
                <w:sz w:val="26"/>
                <w:szCs w:val="26"/>
                <w:rtl/>
              </w:rPr>
              <w:t>ו</w:t>
            </w:r>
            <w:r w:rsidRPr="0060478E">
              <w:rPr>
                <w:rFonts w:hint="cs"/>
                <w:sz w:val="26"/>
                <w:szCs w:val="26"/>
                <w:rtl/>
              </w:rPr>
              <w:t xml:space="preserve"> </w:t>
            </w:r>
            <w:r>
              <w:rPr>
                <w:rFonts w:hint="cs"/>
                <w:sz w:val="26"/>
                <w:szCs w:val="26"/>
                <w:rtl/>
              </w:rPr>
              <w:t xml:space="preserve">ביום </w:t>
            </w:r>
            <w:r w:rsidR="001E3FE7">
              <w:rPr>
                <w:rFonts w:hint="cs"/>
                <w:sz w:val="26"/>
                <w:szCs w:val="26"/>
                <w:rtl/>
              </w:rPr>
              <w:t>3</w:t>
            </w:r>
            <w:r>
              <w:rPr>
                <w:rFonts w:hint="cs"/>
                <w:sz w:val="26"/>
                <w:szCs w:val="26"/>
                <w:rtl/>
              </w:rPr>
              <w:t>.</w:t>
            </w:r>
            <w:r w:rsidR="001E3FE7">
              <w:rPr>
                <w:rFonts w:hint="cs"/>
                <w:sz w:val="26"/>
                <w:szCs w:val="26"/>
                <w:rtl/>
              </w:rPr>
              <w:t>8</w:t>
            </w:r>
            <w:r>
              <w:rPr>
                <w:rFonts w:hint="cs"/>
                <w:sz w:val="26"/>
                <w:szCs w:val="26"/>
                <w:rtl/>
              </w:rPr>
              <w:t>.2021 ו</w:t>
            </w:r>
            <w:r w:rsidRPr="0060478E">
              <w:rPr>
                <w:rFonts w:hint="cs"/>
                <w:sz w:val="26"/>
                <w:szCs w:val="26"/>
                <w:rtl/>
              </w:rPr>
              <w:t>ביום</w:t>
            </w:r>
            <w:r>
              <w:rPr>
                <w:rFonts w:hint="cs"/>
                <w:sz w:val="26"/>
                <w:szCs w:val="26"/>
                <w:rtl/>
              </w:rPr>
              <w:t xml:space="preserve"> 18.8.2021</w:t>
            </w:r>
            <w:r w:rsidRPr="0060478E">
              <w:rPr>
                <w:rFonts w:ascii="Century" w:hAnsi="Century" w:hint="cs"/>
                <w:szCs w:val="26"/>
                <w:rtl/>
              </w:rPr>
              <w:t xml:space="preserve"> ע</w:t>
            </w:r>
            <w:r w:rsidRPr="0060478E">
              <w:rPr>
                <w:rFonts w:hint="cs"/>
                <w:sz w:val="26"/>
                <w:szCs w:val="26"/>
                <w:rtl/>
              </w:rPr>
              <w:t xml:space="preserve">ל ידי בית המשפט המחוזי </w:t>
            </w:r>
            <w:r>
              <w:rPr>
                <w:rFonts w:hint="cs"/>
                <w:sz w:val="26"/>
                <w:szCs w:val="26"/>
                <w:rtl/>
              </w:rPr>
              <w:t>נצרת</w:t>
            </w:r>
            <w:r w:rsidRPr="0060478E">
              <w:rPr>
                <w:rFonts w:hint="cs"/>
                <w:sz w:val="26"/>
                <w:szCs w:val="26"/>
                <w:rtl/>
              </w:rPr>
              <w:t xml:space="preserve"> (השופט </w:t>
            </w:r>
            <w:r>
              <w:rPr>
                <w:rFonts w:ascii="Century" w:hAnsi="Century" w:hint="cs"/>
                <w:szCs w:val="26"/>
                <w:rtl/>
              </w:rPr>
              <w:t xml:space="preserve">ע' </w:t>
            </w:r>
            <w:proofErr w:type="spellStart"/>
            <w:r>
              <w:rPr>
                <w:rFonts w:ascii="Century" w:hAnsi="Century" w:hint="cs"/>
                <w:szCs w:val="26"/>
                <w:rtl/>
              </w:rPr>
              <w:t>טאהא</w:t>
            </w:r>
            <w:proofErr w:type="spellEnd"/>
            <w:r w:rsidRPr="0060478E">
              <w:rPr>
                <w:rFonts w:hint="cs"/>
                <w:sz w:val="26"/>
                <w:szCs w:val="26"/>
                <w:rtl/>
              </w:rPr>
              <w:t xml:space="preserve">) </w:t>
            </w:r>
            <w:proofErr w:type="spellStart"/>
            <w:r w:rsidRPr="0060478E">
              <w:rPr>
                <w:rFonts w:hint="cs"/>
                <w:sz w:val="26"/>
                <w:szCs w:val="26"/>
                <w:rtl/>
              </w:rPr>
              <w:t>במ"ת</w:t>
            </w:r>
            <w:proofErr w:type="spellEnd"/>
            <w:r w:rsidRPr="0060478E">
              <w:rPr>
                <w:rFonts w:hint="cs"/>
                <w:sz w:val="26"/>
                <w:szCs w:val="26"/>
                <w:rtl/>
              </w:rPr>
              <w:t xml:space="preserve"> </w:t>
            </w:r>
            <w:r>
              <w:rPr>
                <w:rFonts w:ascii="Century" w:hAnsi="Century" w:hint="cs"/>
                <w:szCs w:val="26"/>
                <w:rtl/>
              </w:rPr>
              <w:t>48355-06-21</w:t>
            </w:r>
          </w:p>
        </w:tc>
      </w:tr>
    </w:tbl>
    <w:p w:rsidR="00916FF8" w:rsidRDefault="00916FF8">
      <w:pPr>
        <w:pStyle w:val="Ruller3"/>
        <w:rPr>
          <w:rtl/>
        </w:rPr>
      </w:pPr>
    </w:p>
    <w:tbl>
      <w:tblPr>
        <w:bidiVisual/>
        <w:tblW w:w="8364" w:type="dxa"/>
        <w:tblLayout w:type="fixed"/>
        <w:tblLook w:val="0000" w:firstRow="0" w:lastRow="0" w:firstColumn="0" w:lastColumn="0" w:noHBand="0" w:noVBand="0"/>
      </w:tblPr>
      <w:tblGrid>
        <w:gridCol w:w="3210"/>
        <w:gridCol w:w="5154"/>
      </w:tblGrid>
      <w:tr w:rsidR="00135D52" w:rsidTr="00135D52">
        <w:trPr>
          <w:trHeight w:val="287"/>
        </w:trPr>
        <w:tc>
          <w:tcPr>
            <w:tcW w:w="3210" w:type="dxa"/>
          </w:tcPr>
          <w:p w:rsidR="00135D52" w:rsidRPr="00E75223" w:rsidRDefault="00135D52" w:rsidP="00135D52">
            <w:pPr>
              <w:pStyle w:val="BodyRuller"/>
              <w:rPr>
                <w:rFonts w:ascii="David" w:hAnsi="David"/>
              </w:rPr>
            </w:pPr>
            <w:r>
              <w:rPr>
                <w:rFonts w:ascii="David" w:hAnsi="David" w:hint="cs"/>
                <w:rtl/>
              </w:rPr>
              <w:t>בשם העוררת</w:t>
            </w:r>
            <w:r>
              <w:rPr>
                <w:rFonts w:ascii="David" w:hAnsi="David"/>
                <w:rtl/>
              </w:rPr>
              <w:t>:</w:t>
            </w:r>
          </w:p>
        </w:tc>
        <w:tc>
          <w:tcPr>
            <w:tcW w:w="5154" w:type="dxa"/>
          </w:tcPr>
          <w:p w:rsidR="00135D52" w:rsidRDefault="00135D52" w:rsidP="00E62D69">
            <w:pPr>
              <w:pStyle w:val="BodyRuller"/>
            </w:pPr>
            <w:r>
              <w:rPr>
                <w:rFonts w:hint="cs"/>
                <w:sz w:val="26"/>
                <w:szCs w:val="26"/>
                <w:rtl/>
              </w:rPr>
              <w:t xml:space="preserve">עו"ד איתמר </w:t>
            </w:r>
            <w:proofErr w:type="spellStart"/>
            <w:r>
              <w:rPr>
                <w:rFonts w:hint="cs"/>
                <w:sz w:val="26"/>
                <w:szCs w:val="26"/>
                <w:rtl/>
              </w:rPr>
              <w:t>גלבפיש</w:t>
            </w:r>
            <w:proofErr w:type="spellEnd"/>
            <w:r>
              <w:rPr>
                <w:rFonts w:hint="cs"/>
                <w:sz w:val="26"/>
                <w:szCs w:val="26"/>
                <w:rtl/>
              </w:rPr>
              <w:t>; עו"ד שרון הר ציון</w:t>
            </w:r>
          </w:p>
        </w:tc>
      </w:tr>
      <w:tr w:rsidR="00135D52" w:rsidTr="00135D52">
        <w:trPr>
          <w:trHeight w:val="287"/>
        </w:trPr>
        <w:tc>
          <w:tcPr>
            <w:tcW w:w="3210" w:type="dxa"/>
          </w:tcPr>
          <w:p w:rsidR="007A4410" w:rsidRDefault="007A4410" w:rsidP="00E62D69">
            <w:pPr>
              <w:pStyle w:val="BodyRuller"/>
              <w:rPr>
                <w:rFonts w:ascii="David" w:hAnsi="David"/>
                <w:rtl/>
              </w:rPr>
            </w:pPr>
          </w:p>
          <w:p w:rsidR="00135D52" w:rsidRPr="00E75223" w:rsidRDefault="00135D52" w:rsidP="00E62D69">
            <w:pPr>
              <w:pStyle w:val="BodyRuller"/>
              <w:rPr>
                <w:rFonts w:ascii="David" w:hAnsi="David"/>
              </w:rPr>
            </w:pPr>
            <w:r>
              <w:rPr>
                <w:rFonts w:ascii="David" w:hAnsi="David" w:hint="cs"/>
                <w:rtl/>
              </w:rPr>
              <w:t xml:space="preserve">בשם </w:t>
            </w:r>
            <w:r>
              <w:rPr>
                <w:rFonts w:ascii="David" w:hAnsi="David"/>
                <w:rtl/>
              </w:rPr>
              <w:t>המשיב:</w:t>
            </w:r>
          </w:p>
        </w:tc>
        <w:tc>
          <w:tcPr>
            <w:tcW w:w="5154" w:type="dxa"/>
          </w:tcPr>
          <w:p w:rsidR="007A4410" w:rsidRDefault="007A4410" w:rsidP="00E62D69">
            <w:pPr>
              <w:pStyle w:val="BodyRuller"/>
              <w:rPr>
                <w:sz w:val="26"/>
                <w:szCs w:val="26"/>
                <w:rtl/>
              </w:rPr>
            </w:pPr>
          </w:p>
          <w:p w:rsidR="00135D52" w:rsidRDefault="00135D52" w:rsidP="00E62D69">
            <w:pPr>
              <w:pStyle w:val="BodyRuller"/>
            </w:pPr>
            <w:r>
              <w:rPr>
                <w:rFonts w:hint="cs"/>
                <w:sz w:val="26"/>
                <w:szCs w:val="26"/>
                <w:rtl/>
              </w:rPr>
              <w:t>עו"ד ירום הלוי</w:t>
            </w:r>
          </w:p>
        </w:tc>
      </w:tr>
    </w:tbl>
    <w:p w:rsidR="00916FF8" w:rsidRDefault="00916FF8">
      <w:pPr>
        <w:pStyle w:val="Ruller3"/>
      </w:pPr>
    </w:p>
    <w:p w:rsidR="00916FF8" w:rsidRDefault="00916FF8">
      <w:pPr>
        <w:tabs>
          <w:tab w:val="left" w:pos="2552"/>
        </w:tabs>
      </w:pPr>
    </w:p>
    <w:tbl>
      <w:tblPr>
        <w:bidiVisual/>
        <w:tblW w:w="8363" w:type="dxa"/>
        <w:tblLook w:val="0000" w:firstRow="0" w:lastRow="0" w:firstColumn="0" w:lastColumn="0" w:noHBand="0" w:noVBand="0"/>
      </w:tblPr>
      <w:tblGrid>
        <w:gridCol w:w="8363"/>
      </w:tblGrid>
      <w:tr w:rsidR="00036227" w:rsidTr="00D00B1D">
        <w:tc>
          <w:tcPr>
            <w:tcW w:w="9837" w:type="dxa"/>
          </w:tcPr>
          <w:p w:rsidR="00916FF8" w:rsidRDefault="00FE4C74">
            <w:pPr>
              <w:pStyle w:val="DocumentHead"/>
            </w:pPr>
            <w:bookmarkStart w:id="1" w:name="secretary"/>
            <w:bookmarkStart w:id="2" w:name="BeginProtocol"/>
            <w:bookmarkEnd w:id="1"/>
            <w:bookmarkEnd w:id="2"/>
            <w:r>
              <w:rPr>
                <w:rtl/>
              </w:rPr>
              <w:t>החלטה</w:t>
            </w:r>
          </w:p>
        </w:tc>
      </w:tr>
    </w:tbl>
    <w:p w:rsidR="0065522F" w:rsidRDefault="0065522F">
      <w:pPr>
        <w:pStyle w:val="BODYVERDICT"/>
      </w:pPr>
    </w:p>
    <w:p w:rsidR="00916FF8" w:rsidRPr="00503A3E" w:rsidRDefault="00916FF8">
      <w:pPr>
        <w:pStyle w:val="BODYVERDICT"/>
        <w:rPr>
          <w:rFonts w:cs="Miriam"/>
          <w:sz w:val="24"/>
          <w:szCs w:val="24"/>
          <w:u w:val="single"/>
          <w:rtl/>
        </w:rPr>
      </w:pPr>
      <w:bookmarkStart w:id="3" w:name="Writer_Name"/>
      <w:bookmarkEnd w:id="3"/>
    </w:p>
    <w:p w:rsidR="003C5F47" w:rsidRPr="008826D4" w:rsidRDefault="003C5F47" w:rsidP="003C5F47">
      <w:pPr>
        <w:pStyle w:val="Ruller41"/>
        <w:rPr>
          <w:rFonts w:ascii="Century" w:hAnsi="Century" w:cs="Miriam"/>
          <w:b/>
          <w:spacing w:val="0"/>
          <w:szCs w:val="24"/>
          <w:rtl/>
        </w:rPr>
      </w:pPr>
      <w:bookmarkStart w:id="4" w:name="Start_Write"/>
      <w:bookmarkEnd w:id="4"/>
      <w:r w:rsidRPr="008826D4">
        <w:rPr>
          <w:rFonts w:ascii="Century" w:hAnsi="Century" w:cs="Miriam" w:hint="cs"/>
          <w:b/>
          <w:spacing w:val="0"/>
          <w:szCs w:val="24"/>
          <w:rtl/>
        </w:rPr>
        <w:t>הערר</w:t>
      </w:r>
    </w:p>
    <w:p w:rsidR="003C5F47" w:rsidRDefault="003C5F47" w:rsidP="003C5F47">
      <w:pPr>
        <w:pStyle w:val="Ruller41"/>
        <w:rPr>
          <w:rtl/>
        </w:rPr>
      </w:pPr>
    </w:p>
    <w:p w:rsidR="003C5F47" w:rsidRDefault="003C5F47" w:rsidP="003C5F47">
      <w:pPr>
        <w:pStyle w:val="Ruller4"/>
        <w:rPr>
          <w:rtl/>
        </w:rPr>
      </w:pPr>
      <w:r>
        <w:rPr>
          <w:rFonts w:hint="cs"/>
          <w:rtl/>
        </w:rPr>
        <w:t xml:space="preserve">לפניי ערר אשר הוגש על ידי המדינה לפי סעיף 53(א) לחוק סדר הדין הפלילי (סמכויות אכיפה </w:t>
      </w:r>
      <w:r>
        <w:rPr>
          <w:rtl/>
        </w:rPr>
        <w:t>–</w:t>
      </w:r>
      <w:r>
        <w:rPr>
          <w:rFonts w:hint="cs"/>
          <w:rtl/>
        </w:rPr>
        <w:t xml:space="preserve"> מעצרים), התשנ"ו-1996 (להלן: </w:t>
      </w:r>
      <w:r w:rsidRPr="008826D4">
        <w:rPr>
          <w:rFonts w:ascii="Century" w:hAnsi="Century" w:cs="Miriam" w:hint="cs"/>
          <w:b/>
          <w:spacing w:val="0"/>
          <w:sz w:val="22"/>
          <w:szCs w:val="24"/>
          <w:rtl/>
        </w:rPr>
        <w:t>חוק המעצרים</w:t>
      </w:r>
      <w:r>
        <w:rPr>
          <w:rFonts w:hint="cs"/>
          <w:rtl/>
        </w:rPr>
        <w:t xml:space="preserve">), נגד החלטות בית המשפט המחוזי נצרת (השופט </w:t>
      </w:r>
      <w:r w:rsidRPr="008826D4">
        <w:rPr>
          <w:rFonts w:ascii="Century" w:hAnsi="Century" w:cs="Miriam" w:hint="cs"/>
          <w:b/>
          <w:spacing w:val="0"/>
          <w:sz w:val="22"/>
          <w:szCs w:val="24"/>
          <w:rtl/>
        </w:rPr>
        <w:t xml:space="preserve">ע' </w:t>
      </w:r>
      <w:proofErr w:type="spellStart"/>
      <w:r w:rsidRPr="008826D4">
        <w:rPr>
          <w:rFonts w:ascii="Century" w:hAnsi="Century" w:cs="Miriam" w:hint="cs"/>
          <w:b/>
          <w:spacing w:val="0"/>
          <w:sz w:val="22"/>
          <w:szCs w:val="24"/>
          <w:rtl/>
        </w:rPr>
        <w:t>טאהא</w:t>
      </w:r>
      <w:proofErr w:type="spellEnd"/>
      <w:r>
        <w:rPr>
          <w:rFonts w:hint="cs"/>
          <w:rtl/>
        </w:rPr>
        <w:t xml:space="preserve">) אשר ניתנו ביום 3.8.2021 וביום 18.8.2021 </w:t>
      </w:r>
      <w:proofErr w:type="spellStart"/>
      <w:r>
        <w:rPr>
          <w:rFonts w:hint="cs"/>
          <w:rtl/>
        </w:rPr>
        <w:t>במ"ת</w:t>
      </w:r>
      <w:proofErr w:type="spellEnd"/>
      <w:r>
        <w:rPr>
          <w:rFonts w:hint="cs"/>
          <w:rtl/>
        </w:rPr>
        <w:t xml:space="preserve"> 48355-06-21, בגדרן הוחלט על העברת המשיב ממעצרו בכלא למעצר באזוק אלקטרוני מחוץ לכלא, בכפוף לתנאים שנקבעו. </w:t>
      </w:r>
    </w:p>
    <w:p w:rsidR="003C5F47" w:rsidRPr="00CE5429" w:rsidRDefault="003C5F47" w:rsidP="003C5F47">
      <w:pPr>
        <w:pStyle w:val="Ruller41"/>
      </w:pPr>
    </w:p>
    <w:p w:rsidR="003C5F47" w:rsidRDefault="003C5F47" w:rsidP="003C5F47">
      <w:pPr>
        <w:pStyle w:val="Ruller4"/>
        <w:rPr>
          <w:rtl/>
        </w:rPr>
      </w:pPr>
      <w:r>
        <w:rPr>
          <w:rFonts w:hint="cs"/>
          <w:rtl/>
        </w:rPr>
        <w:t xml:space="preserve">החלטות אלה, שתיקראנה יחדיו </w:t>
      </w:r>
      <w:r w:rsidRPr="00CE5429">
        <w:rPr>
          <w:rFonts w:ascii="Century" w:hAnsi="Century" w:cs="Miriam" w:hint="cs"/>
          <w:b/>
          <w:spacing w:val="0"/>
          <w:sz w:val="22"/>
          <w:szCs w:val="24"/>
          <w:rtl/>
        </w:rPr>
        <w:t>ההחלטה קמא</w:t>
      </w:r>
      <w:r>
        <w:rPr>
          <w:rFonts w:hint="cs"/>
          <w:rtl/>
        </w:rPr>
        <w:t xml:space="preserve">, ניתנו אגב המשפט החוזר אשר נפתח בעניינו של המשיב בעקבות החלטתו של בית משפט זה (המשנה לנשיאה בדימוס, השופט </w:t>
      </w:r>
      <w:r w:rsidRPr="00FB2AE9">
        <w:rPr>
          <w:rFonts w:ascii="Century" w:hAnsi="Century" w:cs="Miriam" w:hint="cs"/>
          <w:b/>
          <w:spacing w:val="0"/>
          <w:sz w:val="22"/>
          <w:szCs w:val="24"/>
          <w:rtl/>
        </w:rPr>
        <w:t>ח' מלצר</w:t>
      </w:r>
      <w:r>
        <w:rPr>
          <w:rFonts w:hint="cs"/>
          <w:rtl/>
        </w:rPr>
        <w:t xml:space="preserve">) </w:t>
      </w:r>
      <w:proofErr w:type="spellStart"/>
      <w:r>
        <w:rPr>
          <w:rFonts w:hint="cs"/>
          <w:rtl/>
        </w:rPr>
        <w:t>במ"ח</w:t>
      </w:r>
      <w:proofErr w:type="spellEnd"/>
      <w:r>
        <w:rPr>
          <w:rFonts w:hint="cs"/>
          <w:rtl/>
        </w:rPr>
        <w:t xml:space="preserve"> 6881/19, אשר ניתנה מכוח האמור בסעיף 31(א)(2) לחוק בתי המשפט [נוסח משולב], התשמ"ד-1984 (להלן: </w:t>
      </w:r>
      <w:r w:rsidRPr="00FB2AE9">
        <w:rPr>
          <w:rFonts w:ascii="Century" w:hAnsi="Century" w:cs="Miriam" w:hint="cs"/>
          <w:b/>
          <w:spacing w:val="0"/>
          <w:sz w:val="22"/>
          <w:szCs w:val="24"/>
          <w:rtl/>
        </w:rPr>
        <w:t>חוק בתי המשפט</w:t>
      </w:r>
      <w:r>
        <w:rPr>
          <w:rFonts w:hint="cs"/>
          <w:rtl/>
        </w:rPr>
        <w:t xml:space="preserve">), לאחר שנקבע כי </w:t>
      </w:r>
      <w:r>
        <w:rPr>
          <w:rFonts w:hint="cs"/>
          <w:rtl/>
        </w:rPr>
        <w:lastRenderedPageBreak/>
        <w:t xml:space="preserve">"הוצגו [...] </w:t>
      </w:r>
      <w:r w:rsidRPr="00FB2AE9">
        <w:rPr>
          <w:rFonts w:hint="eastAsia"/>
          <w:rtl/>
        </w:rPr>
        <w:t>ראיות</w:t>
      </w:r>
      <w:r w:rsidRPr="00FB2AE9">
        <w:rPr>
          <w:rtl/>
        </w:rPr>
        <w:t xml:space="preserve">, </w:t>
      </w:r>
      <w:r w:rsidRPr="00FB2AE9">
        <w:rPr>
          <w:rFonts w:hint="eastAsia"/>
          <w:rtl/>
        </w:rPr>
        <w:t>העשויות</w:t>
      </w:r>
      <w:r w:rsidRPr="00FB2AE9">
        <w:rPr>
          <w:rtl/>
        </w:rPr>
        <w:t xml:space="preserve">, </w:t>
      </w:r>
      <w:r w:rsidRPr="00FB2AE9">
        <w:rPr>
          <w:rFonts w:hint="eastAsia"/>
          <w:rtl/>
        </w:rPr>
        <w:t>לבדן</w:t>
      </w:r>
      <w:r w:rsidRPr="00FB2AE9">
        <w:rPr>
          <w:rtl/>
        </w:rPr>
        <w:t xml:space="preserve"> </w:t>
      </w:r>
      <w:r w:rsidRPr="00FB2AE9">
        <w:rPr>
          <w:rFonts w:hint="eastAsia"/>
          <w:rtl/>
        </w:rPr>
        <w:t>או</w:t>
      </w:r>
      <w:r w:rsidRPr="00FB2AE9">
        <w:rPr>
          <w:rtl/>
        </w:rPr>
        <w:t xml:space="preserve"> </w:t>
      </w:r>
      <w:r w:rsidRPr="00FB2AE9">
        <w:rPr>
          <w:rFonts w:hint="eastAsia"/>
          <w:rtl/>
        </w:rPr>
        <w:t>ביחד</w:t>
      </w:r>
      <w:r w:rsidRPr="00FB2AE9">
        <w:rPr>
          <w:rtl/>
        </w:rPr>
        <w:t xml:space="preserve"> </w:t>
      </w:r>
      <w:r w:rsidRPr="00FB2AE9">
        <w:rPr>
          <w:rFonts w:hint="eastAsia"/>
          <w:rtl/>
        </w:rPr>
        <w:t>עם</w:t>
      </w:r>
      <w:r w:rsidRPr="00FB2AE9">
        <w:rPr>
          <w:rtl/>
        </w:rPr>
        <w:t xml:space="preserve"> </w:t>
      </w:r>
      <w:r w:rsidRPr="00FB2AE9">
        <w:rPr>
          <w:rFonts w:hint="eastAsia"/>
          <w:rtl/>
        </w:rPr>
        <w:t>החומר</w:t>
      </w:r>
      <w:r w:rsidRPr="00FB2AE9">
        <w:rPr>
          <w:rtl/>
        </w:rPr>
        <w:t xml:space="preserve"> </w:t>
      </w:r>
      <w:r w:rsidRPr="00FB2AE9">
        <w:rPr>
          <w:rFonts w:hint="eastAsia"/>
          <w:rtl/>
        </w:rPr>
        <w:t>שהיה</w:t>
      </w:r>
      <w:r w:rsidRPr="00FB2AE9">
        <w:rPr>
          <w:rtl/>
        </w:rPr>
        <w:t xml:space="preserve"> </w:t>
      </w:r>
      <w:r w:rsidRPr="00FB2AE9">
        <w:rPr>
          <w:rFonts w:hint="eastAsia"/>
          <w:rtl/>
        </w:rPr>
        <w:t>בפני</w:t>
      </w:r>
      <w:r w:rsidRPr="00FB2AE9">
        <w:rPr>
          <w:rtl/>
        </w:rPr>
        <w:t xml:space="preserve"> </w:t>
      </w:r>
      <w:r w:rsidRPr="00FB2AE9">
        <w:rPr>
          <w:rFonts w:hint="eastAsia"/>
          <w:rtl/>
        </w:rPr>
        <w:t>בית</w:t>
      </w:r>
      <w:r w:rsidRPr="00FB2AE9">
        <w:rPr>
          <w:rtl/>
        </w:rPr>
        <w:t xml:space="preserve"> </w:t>
      </w:r>
      <w:r w:rsidRPr="00FB2AE9">
        <w:rPr>
          <w:rFonts w:hint="eastAsia"/>
          <w:rtl/>
        </w:rPr>
        <w:t>המשפט</w:t>
      </w:r>
      <w:r w:rsidRPr="00FB2AE9">
        <w:rPr>
          <w:rtl/>
        </w:rPr>
        <w:t xml:space="preserve"> </w:t>
      </w:r>
      <w:r w:rsidRPr="00FB2AE9">
        <w:rPr>
          <w:rFonts w:hint="eastAsia"/>
          <w:rtl/>
        </w:rPr>
        <w:t>בראשונה</w:t>
      </w:r>
      <w:r w:rsidRPr="00FB2AE9">
        <w:rPr>
          <w:rtl/>
        </w:rPr>
        <w:t xml:space="preserve">, </w:t>
      </w:r>
      <w:r w:rsidRPr="00FB2AE9">
        <w:rPr>
          <w:rFonts w:hint="eastAsia"/>
          <w:rtl/>
        </w:rPr>
        <w:t>לשנות</w:t>
      </w:r>
      <w:r w:rsidRPr="00FB2AE9">
        <w:rPr>
          <w:rtl/>
        </w:rPr>
        <w:t xml:space="preserve"> </w:t>
      </w:r>
      <w:r w:rsidRPr="00FB2AE9">
        <w:rPr>
          <w:rFonts w:hint="eastAsia"/>
          <w:rtl/>
        </w:rPr>
        <w:t>את</w:t>
      </w:r>
      <w:r w:rsidRPr="00FB2AE9">
        <w:rPr>
          <w:rtl/>
        </w:rPr>
        <w:t xml:space="preserve"> </w:t>
      </w:r>
      <w:r w:rsidRPr="00FB2AE9">
        <w:rPr>
          <w:rFonts w:hint="eastAsia"/>
          <w:rtl/>
        </w:rPr>
        <w:t>תוצאות</w:t>
      </w:r>
      <w:r w:rsidRPr="00FB2AE9">
        <w:rPr>
          <w:rtl/>
        </w:rPr>
        <w:t xml:space="preserve"> </w:t>
      </w:r>
      <w:r w:rsidRPr="00FB2AE9">
        <w:rPr>
          <w:rFonts w:hint="eastAsia"/>
          <w:rtl/>
        </w:rPr>
        <w:t>המשפט</w:t>
      </w:r>
      <w:r w:rsidRPr="00FB2AE9">
        <w:rPr>
          <w:rtl/>
        </w:rPr>
        <w:t xml:space="preserve"> </w:t>
      </w:r>
      <w:r w:rsidRPr="00FB2AE9">
        <w:rPr>
          <w:rFonts w:hint="eastAsia"/>
          <w:rtl/>
        </w:rPr>
        <w:t>לטובת</w:t>
      </w:r>
      <w:r w:rsidRPr="00FB2AE9">
        <w:rPr>
          <w:rtl/>
        </w:rPr>
        <w:t xml:space="preserve"> </w:t>
      </w:r>
      <w:r w:rsidRPr="00FB2AE9">
        <w:rPr>
          <w:rFonts w:hint="eastAsia"/>
          <w:rtl/>
        </w:rPr>
        <w:t>הנידון</w:t>
      </w:r>
      <w:r>
        <w:rPr>
          <w:rFonts w:hint="cs"/>
          <w:rtl/>
        </w:rPr>
        <w:t xml:space="preserve">" (להלן: </w:t>
      </w:r>
      <w:r w:rsidRPr="00FB2AE9">
        <w:rPr>
          <w:rFonts w:ascii="Century" w:hAnsi="Century" w:cs="Miriam" w:hint="cs"/>
          <w:b/>
          <w:spacing w:val="0"/>
          <w:sz w:val="22"/>
          <w:szCs w:val="24"/>
          <w:rtl/>
        </w:rPr>
        <w:t>ההחלטה בדבר המשפט החוזר</w:t>
      </w:r>
      <w:r>
        <w:rPr>
          <w:rFonts w:hint="cs"/>
          <w:rtl/>
        </w:rPr>
        <w:t xml:space="preserve">). </w:t>
      </w:r>
    </w:p>
    <w:p w:rsidR="003C5F47" w:rsidRPr="003E337E" w:rsidRDefault="003C5F47" w:rsidP="003C5F47">
      <w:pPr>
        <w:pStyle w:val="Ruller41"/>
      </w:pPr>
    </w:p>
    <w:p w:rsidR="003C5F47" w:rsidRDefault="003C5F47" w:rsidP="003C5F47">
      <w:pPr>
        <w:pStyle w:val="Ruller4"/>
        <w:rPr>
          <w:rtl/>
        </w:rPr>
      </w:pPr>
      <w:r>
        <w:rPr>
          <w:rFonts w:hint="cs"/>
          <w:rtl/>
        </w:rPr>
        <w:t xml:space="preserve">על מנת לאפשר למדינה להגיש ערר זה, הורה בית משפט קמא על עיכוב החלטתו מיום 18.8.2021 למשך 48 שעות. בפתח הדיון בערר, אשר התקיים ביום 20.8.2021, הוריתי, בהסכמת בעלי הדין, כי המשיב יוסיף להיות עצור מאחורי סורג ובריח עד למתן החלטתי בערר. </w:t>
      </w:r>
    </w:p>
    <w:p w:rsidR="003C5F47" w:rsidRPr="006E0115" w:rsidRDefault="003C5F47" w:rsidP="003C5F47">
      <w:pPr>
        <w:pStyle w:val="Ruller41"/>
      </w:pPr>
    </w:p>
    <w:p w:rsidR="003C5F47" w:rsidRDefault="003C5F47" w:rsidP="003C5F47">
      <w:pPr>
        <w:pStyle w:val="Ruller4"/>
        <w:rPr>
          <w:rtl/>
        </w:rPr>
      </w:pPr>
      <w:r>
        <w:rPr>
          <w:rFonts w:hint="cs"/>
          <w:rtl/>
        </w:rPr>
        <w:t>החלטה זו ניתנת כעת.</w:t>
      </w:r>
    </w:p>
    <w:p w:rsidR="003C5F47" w:rsidRPr="003E337E" w:rsidRDefault="003C5F47" w:rsidP="003C5F47">
      <w:pPr>
        <w:pStyle w:val="Ruller41"/>
        <w:rPr>
          <w:rtl/>
        </w:rPr>
      </w:pPr>
    </w:p>
    <w:p w:rsidR="003C5F47" w:rsidRPr="00FB2AE9" w:rsidRDefault="003C5F47" w:rsidP="003C5F47">
      <w:pPr>
        <w:pStyle w:val="Ruller41"/>
        <w:rPr>
          <w:rFonts w:ascii="Century" w:hAnsi="Century" w:cs="Miriam"/>
          <w:b/>
          <w:spacing w:val="0"/>
          <w:szCs w:val="24"/>
          <w:rtl/>
        </w:rPr>
      </w:pPr>
      <w:r w:rsidRPr="00FB2AE9">
        <w:rPr>
          <w:rFonts w:ascii="Century" w:hAnsi="Century" w:cs="Miriam" w:hint="cs"/>
          <w:b/>
          <w:spacing w:val="0"/>
          <w:szCs w:val="24"/>
          <w:rtl/>
        </w:rPr>
        <w:t>עיקרי העובדות</w:t>
      </w:r>
    </w:p>
    <w:p w:rsidR="003C5F47" w:rsidRPr="00FB2AE9" w:rsidRDefault="003C5F47" w:rsidP="003C5F47">
      <w:pPr>
        <w:pStyle w:val="Ruller41"/>
      </w:pPr>
    </w:p>
    <w:p w:rsidR="003C5F47" w:rsidRDefault="003C5F47" w:rsidP="003C5F47">
      <w:pPr>
        <w:pStyle w:val="Ruller4"/>
        <w:rPr>
          <w:rtl/>
        </w:rPr>
      </w:pPr>
      <w:r>
        <w:rPr>
          <w:rFonts w:hint="cs"/>
          <w:rtl/>
        </w:rPr>
        <w:t xml:space="preserve">ההחלטה בדבר המשפט החוזר ניתנה בעקבות בקשת המשיב מיום 23.10.2019 על רקע העובדות הבאות: </w:t>
      </w:r>
    </w:p>
    <w:p w:rsidR="003C5F47" w:rsidRDefault="003C5F47" w:rsidP="003C5F47">
      <w:pPr>
        <w:pStyle w:val="Ruller41"/>
        <w:rPr>
          <w:rtl/>
        </w:rPr>
      </w:pPr>
    </w:p>
    <w:p w:rsidR="003C5F47" w:rsidRDefault="003C5F47" w:rsidP="003C5F47">
      <w:pPr>
        <w:pStyle w:val="Ruller41"/>
        <w:numPr>
          <w:ilvl w:val="0"/>
          <w:numId w:val="13"/>
        </w:numPr>
      </w:pPr>
      <w:r>
        <w:rPr>
          <w:rFonts w:hint="cs"/>
          <w:rtl/>
        </w:rPr>
        <w:t xml:space="preserve">המשיב הורשע ברצח אכזרי של ילדה בת 13, תאיר </w:t>
      </w:r>
      <w:proofErr w:type="spellStart"/>
      <w:r>
        <w:rPr>
          <w:rFonts w:hint="cs"/>
          <w:rtl/>
        </w:rPr>
        <w:t>ראדה</w:t>
      </w:r>
      <w:proofErr w:type="spellEnd"/>
      <w:r>
        <w:rPr>
          <w:rFonts w:hint="cs"/>
          <w:rtl/>
        </w:rPr>
        <w:t xml:space="preserve"> ז"ל (להלן: </w:t>
      </w:r>
      <w:r w:rsidRPr="00966BEE">
        <w:rPr>
          <w:rFonts w:ascii="Century" w:hAnsi="Century" w:cs="Miriam" w:hint="cs"/>
          <w:b/>
          <w:spacing w:val="0"/>
          <w:szCs w:val="24"/>
          <w:rtl/>
        </w:rPr>
        <w:t>המנוחה</w:t>
      </w:r>
      <w:r>
        <w:rPr>
          <w:rFonts w:hint="cs"/>
          <w:rtl/>
        </w:rPr>
        <w:t xml:space="preserve">), וכן בשיבוש מהלכי חקירה, ונדון למאסר עולם (ראו: הכרעת הדין וגזר הדין שניתנו </w:t>
      </w:r>
      <w:proofErr w:type="spellStart"/>
      <w:r>
        <w:rPr>
          <w:rFonts w:hint="cs"/>
          <w:rtl/>
        </w:rPr>
        <w:t>בתפ"ח</w:t>
      </w:r>
      <w:proofErr w:type="spellEnd"/>
      <w:r>
        <w:rPr>
          <w:rFonts w:hint="cs"/>
          <w:rtl/>
        </w:rPr>
        <w:t xml:space="preserve"> (מחוזי נצרת) 502/07 </w:t>
      </w:r>
      <w:r>
        <w:rPr>
          <w:rFonts w:ascii="Century" w:hAnsi="Century" w:cs="Miriam" w:hint="cs"/>
          <w:b/>
          <w:spacing w:val="0"/>
          <w:szCs w:val="24"/>
          <w:rtl/>
        </w:rPr>
        <w:t xml:space="preserve">מדינת ישראל נ' </w:t>
      </w:r>
      <w:proofErr w:type="spellStart"/>
      <w:r w:rsidRPr="00706F27">
        <w:rPr>
          <w:rFonts w:ascii="Century" w:hAnsi="Century" w:cs="Miriam" w:hint="cs"/>
          <w:b/>
          <w:spacing w:val="0"/>
          <w:szCs w:val="24"/>
          <w:rtl/>
        </w:rPr>
        <w:t>זדורוב</w:t>
      </w:r>
      <w:proofErr w:type="spellEnd"/>
      <w:r>
        <w:rPr>
          <w:rFonts w:ascii="Century" w:hAnsi="Century" w:hint="cs"/>
          <w:rtl/>
        </w:rPr>
        <w:t xml:space="preserve"> (</w:t>
      </w:r>
      <w:r>
        <w:rPr>
          <w:rFonts w:hint="cs"/>
          <w:rtl/>
        </w:rPr>
        <w:t xml:space="preserve">14.9.2010)). נקבע כי המשיב ביצע את מעשה הרצח באמצעות סכין בשירותי הבנות של בית הספר "נופי גולן" בקצרין, בו למדה המנוחה. במסגרת זו נקבע כי המשיב, אשר עבד באותה עת בריצוף מקלטים בבית הספר, הלך אחר המנוחה לשירותי הבנות, נכנס בכוח לתא השירותים השני </w:t>
      </w:r>
      <w:r>
        <w:rPr>
          <w:rtl/>
        </w:rPr>
        <w:t>–</w:t>
      </w:r>
      <w:r>
        <w:rPr>
          <w:rFonts w:hint="cs"/>
          <w:rtl/>
        </w:rPr>
        <w:t xml:space="preserve"> אליו נכנסה המנוחה, ושם שלף סכין שנשא עמו, שיסף את גרונה של המנוחה וחתכהּ במקומות שונים בגופה באופן שגרם לדימום מאסיבי אשר הביא למותה. כמו כן נקבע כי המשיב השאיר את המנוחה שרועה על מושב האסלה בשירותים, נמלט מהשירותים אחרי שנעל את דלת התא מבפנים, ואחר כך ניסה להעלים ראיות שיכלו לזהותו כרוצח. קביעות אלה התבססו, בעיקרן, על התוודות המשיב בפני מדובב, כראיה בעלת משקל סגולי, ועל הודאותיו במשטרה, לרבות ההודאה שנמסרה במסגרתו של שחזור הרצח, אשר במסגרתן סיפר המשיב כי רצח את המנוחה כמתואר לעיל. כמו כן התבססו קביעות אלה של בית המשפט על כך שהמשיב ירד לפרטים בהודאותיו והצביע על מספר פרטים מוכמנים אשר נמצאו בזירת הרצח. בנוסף, זקף בית המשפט לחובת המשיב את העובדה שהלה נפטר מהמכנסיים שלבש בזמן הרצח. במסגרת </w:t>
      </w:r>
      <w:r>
        <w:rPr>
          <w:rFonts w:hint="cs"/>
          <w:rtl/>
        </w:rPr>
        <w:lastRenderedPageBreak/>
        <w:t>זו, קבע בית המשפט כי ההסבר שנתן המשיב להיפטרותו מהמכנסיים,</w:t>
      </w:r>
      <w:r w:rsidRPr="004A4EBF">
        <w:rPr>
          <w:rFonts w:hint="cs"/>
          <w:rtl/>
        </w:rPr>
        <w:t xml:space="preserve"> </w:t>
      </w:r>
      <w:r>
        <w:rPr>
          <w:rFonts w:hint="cs"/>
          <w:rtl/>
        </w:rPr>
        <w:t xml:space="preserve">לפיו אלו נעשו קטנים למידותיו לאחר שעלה במשקל, אינו אמין. פסק דין זה ניתן פה-אחד על ידי השופט </w:t>
      </w:r>
      <w:r w:rsidRPr="00A623B6">
        <w:rPr>
          <w:rFonts w:ascii="Century" w:hAnsi="Century" w:cs="Miriam" w:hint="cs"/>
          <w:b/>
          <w:spacing w:val="0"/>
          <w:szCs w:val="24"/>
          <w:rtl/>
        </w:rPr>
        <w:t>י' כהן</w:t>
      </w:r>
      <w:r w:rsidRPr="00A623B6">
        <w:rPr>
          <w:rFonts w:ascii="Century" w:hAnsi="Century" w:hint="cs"/>
          <w:rtl/>
        </w:rPr>
        <w:t xml:space="preserve">, </w:t>
      </w:r>
      <w:proofErr w:type="spellStart"/>
      <w:r w:rsidRPr="00A623B6">
        <w:rPr>
          <w:rFonts w:ascii="Century" w:hAnsi="Century" w:hint="cs"/>
          <w:rtl/>
        </w:rPr>
        <w:t>ס"נ</w:t>
      </w:r>
      <w:proofErr w:type="spellEnd"/>
      <w:r w:rsidRPr="00A623B6">
        <w:rPr>
          <w:rFonts w:ascii="Century" w:hAnsi="Century" w:hint="cs"/>
          <w:rtl/>
        </w:rPr>
        <w:t xml:space="preserve"> (כתוארו אז) </w:t>
      </w:r>
      <w:r>
        <w:rPr>
          <w:rFonts w:hint="cs"/>
          <w:rtl/>
        </w:rPr>
        <w:t xml:space="preserve">והשופטים </w:t>
      </w:r>
      <w:r w:rsidRPr="00A623B6">
        <w:rPr>
          <w:rFonts w:ascii="Century" w:hAnsi="Century" w:cs="Miriam" w:hint="cs"/>
          <w:b/>
          <w:spacing w:val="0"/>
          <w:szCs w:val="24"/>
          <w:rtl/>
        </w:rPr>
        <w:t xml:space="preserve">ח' </w:t>
      </w:r>
      <w:proofErr w:type="spellStart"/>
      <w:r w:rsidRPr="00A623B6">
        <w:rPr>
          <w:rFonts w:ascii="Century" w:hAnsi="Century" w:cs="Miriam" w:hint="cs"/>
          <w:b/>
          <w:spacing w:val="0"/>
          <w:szCs w:val="24"/>
          <w:rtl/>
        </w:rPr>
        <w:t>גלפז</w:t>
      </w:r>
      <w:proofErr w:type="spellEnd"/>
      <w:r>
        <w:rPr>
          <w:rFonts w:hint="cs"/>
          <w:rtl/>
        </w:rPr>
        <w:t xml:space="preserve"> ז"ל ו</w:t>
      </w:r>
      <w:r w:rsidRPr="00A623B6">
        <w:rPr>
          <w:rFonts w:ascii="Century" w:hAnsi="Century" w:cs="Miriam" w:hint="cs"/>
          <w:b/>
          <w:spacing w:val="0"/>
          <w:szCs w:val="24"/>
          <w:rtl/>
        </w:rPr>
        <w:t>א' הלמן</w:t>
      </w:r>
      <w:r>
        <w:rPr>
          <w:rFonts w:hint="cs"/>
          <w:rtl/>
        </w:rPr>
        <w:t xml:space="preserve">. </w:t>
      </w:r>
    </w:p>
    <w:p w:rsidR="003C5F47" w:rsidRDefault="003C5F47" w:rsidP="003C5F47">
      <w:pPr>
        <w:pStyle w:val="Ruller41"/>
        <w:ind w:left="720"/>
      </w:pPr>
    </w:p>
    <w:p w:rsidR="003C5F47" w:rsidRDefault="003C5F47" w:rsidP="003C5F47">
      <w:pPr>
        <w:pStyle w:val="Ruller41"/>
        <w:numPr>
          <w:ilvl w:val="0"/>
          <w:numId w:val="13"/>
        </w:numPr>
      </w:pPr>
      <w:r>
        <w:rPr>
          <w:rFonts w:hint="cs"/>
          <w:rtl/>
        </w:rPr>
        <w:t xml:space="preserve">המשיב ערער על הרשעתו לבית המשפט העליון בגדרו של ע"פ 7939/10, ובמסגרת זו הגיש בקשה להוספת ראיות, שנתקבלה: בהחלטתו מיום 17.3.2013, הורה בית משפט זה (השופטים </w:t>
      </w:r>
      <w:r w:rsidRPr="001A2FE3">
        <w:rPr>
          <w:rFonts w:ascii="Century" w:hAnsi="Century" w:cs="Miriam" w:hint="cs"/>
          <w:b/>
          <w:spacing w:val="0"/>
          <w:szCs w:val="24"/>
          <w:rtl/>
        </w:rPr>
        <w:t xml:space="preserve">ע' ארבל, י' </w:t>
      </w:r>
      <w:proofErr w:type="spellStart"/>
      <w:r w:rsidRPr="001A2FE3">
        <w:rPr>
          <w:rFonts w:ascii="Century" w:hAnsi="Century" w:cs="Miriam" w:hint="cs"/>
          <w:b/>
          <w:spacing w:val="0"/>
          <w:szCs w:val="24"/>
          <w:rtl/>
        </w:rPr>
        <w:t>דנציגר</w:t>
      </w:r>
      <w:proofErr w:type="spellEnd"/>
      <w:r w:rsidRPr="001A2FE3">
        <w:rPr>
          <w:rFonts w:ascii="Century" w:hAnsi="Century" w:cs="Miriam" w:hint="cs"/>
          <w:b/>
          <w:spacing w:val="0"/>
          <w:szCs w:val="24"/>
          <w:rtl/>
        </w:rPr>
        <w:t xml:space="preserve"> </w:t>
      </w:r>
      <w:r w:rsidRPr="00A81065">
        <w:rPr>
          <w:rFonts w:hint="eastAsia"/>
          <w:rtl/>
        </w:rPr>
        <w:t>ו</w:t>
      </w:r>
      <w:r w:rsidRPr="001A2FE3">
        <w:rPr>
          <w:rFonts w:ascii="Century" w:hAnsi="Century" w:cs="Miriam" w:hint="cs"/>
          <w:b/>
          <w:spacing w:val="0"/>
          <w:szCs w:val="24"/>
          <w:rtl/>
        </w:rPr>
        <w:t xml:space="preserve">צ' </w:t>
      </w:r>
      <w:proofErr w:type="spellStart"/>
      <w:r w:rsidRPr="001A2FE3">
        <w:rPr>
          <w:rFonts w:ascii="Century" w:hAnsi="Century" w:cs="Miriam" w:hint="cs"/>
          <w:b/>
          <w:spacing w:val="0"/>
          <w:szCs w:val="24"/>
          <w:rtl/>
        </w:rPr>
        <w:t>זילברטל</w:t>
      </w:r>
      <w:proofErr w:type="spellEnd"/>
      <w:r>
        <w:rPr>
          <w:rFonts w:hint="cs"/>
          <w:rtl/>
        </w:rPr>
        <w:t xml:space="preserve">) לבית המשפט המחוזי נצרת לגבות את הראיות נשוא הבקשה ולחוות את דעתו בשאלה אם יש בהן כדי לשנות את הכרעת הדין </w:t>
      </w:r>
      <w:r>
        <w:rPr>
          <w:rtl/>
        </w:rPr>
        <w:t>–</w:t>
      </w:r>
      <w:r>
        <w:rPr>
          <w:rFonts w:hint="cs"/>
          <w:rtl/>
        </w:rPr>
        <w:t xml:space="preserve"> זאת, תוך הותרת פסק דינו של בית המשפט המחוזי על כנו ומבלי לטעת מסמרות. </w:t>
      </w:r>
    </w:p>
    <w:p w:rsidR="003C5F47" w:rsidRDefault="003C5F47" w:rsidP="003C5F47">
      <w:pPr>
        <w:pStyle w:val="Ruller41"/>
        <w:ind w:left="720"/>
      </w:pPr>
    </w:p>
    <w:p w:rsidR="003C5F47" w:rsidRDefault="003C5F47" w:rsidP="003C5F47">
      <w:pPr>
        <w:pStyle w:val="Ruller41"/>
        <w:numPr>
          <w:ilvl w:val="0"/>
          <w:numId w:val="13"/>
        </w:numPr>
      </w:pPr>
      <w:r>
        <w:rPr>
          <w:rFonts w:hint="cs"/>
          <w:rtl/>
        </w:rPr>
        <w:t xml:space="preserve">ביום 24.2.2014, נתן בית המשפט המחוזי פסק דין משלים אשר קבע כי אין בראיות הנוספות הללו כדי לשנות את הכרעת הדין. פסק דין זה ניתן על ידי הנשיא </w:t>
      </w:r>
      <w:r w:rsidRPr="0097753A">
        <w:rPr>
          <w:rFonts w:ascii="Century" w:hAnsi="Century" w:cs="Miriam" w:hint="cs"/>
          <w:b/>
          <w:spacing w:val="0"/>
          <w:szCs w:val="24"/>
          <w:rtl/>
        </w:rPr>
        <w:t>י' כהן</w:t>
      </w:r>
      <w:r>
        <w:rPr>
          <w:rFonts w:hint="cs"/>
          <w:rtl/>
        </w:rPr>
        <w:t xml:space="preserve">, </w:t>
      </w:r>
      <w:proofErr w:type="spellStart"/>
      <w:r>
        <w:rPr>
          <w:rFonts w:hint="cs"/>
          <w:rtl/>
        </w:rPr>
        <w:t>ס"נ</w:t>
      </w:r>
      <w:proofErr w:type="spellEnd"/>
      <w:r>
        <w:rPr>
          <w:rFonts w:hint="cs"/>
          <w:rtl/>
        </w:rPr>
        <w:t xml:space="preserve"> </w:t>
      </w:r>
      <w:r w:rsidRPr="0097753A">
        <w:rPr>
          <w:rFonts w:ascii="Century" w:hAnsi="Century" w:cs="Miriam" w:hint="cs"/>
          <w:b/>
          <w:spacing w:val="0"/>
          <w:szCs w:val="24"/>
          <w:rtl/>
        </w:rPr>
        <w:t>ב' ארבל</w:t>
      </w:r>
      <w:r>
        <w:rPr>
          <w:rFonts w:hint="cs"/>
          <w:rtl/>
        </w:rPr>
        <w:t xml:space="preserve">, אשר הצטרף למותב בעקבות פטירתו של השופט </w:t>
      </w:r>
      <w:r w:rsidRPr="0097753A">
        <w:rPr>
          <w:rFonts w:ascii="Century" w:hAnsi="Century" w:cs="Miriam" w:hint="cs"/>
          <w:b/>
          <w:spacing w:val="0"/>
          <w:szCs w:val="24"/>
          <w:rtl/>
        </w:rPr>
        <w:t xml:space="preserve">ח' </w:t>
      </w:r>
      <w:proofErr w:type="spellStart"/>
      <w:r w:rsidRPr="0097753A">
        <w:rPr>
          <w:rFonts w:ascii="Century" w:hAnsi="Century" w:cs="Miriam" w:hint="cs"/>
          <w:b/>
          <w:spacing w:val="0"/>
          <w:szCs w:val="24"/>
          <w:rtl/>
        </w:rPr>
        <w:t>גלפז</w:t>
      </w:r>
      <w:proofErr w:type="spellEnd"/>
      <w:r w:rsidRPr="0097753A">
        <w:rPr>
          <w:rFonts w:ascii="Century" w:hAnsi="Century" w:cs="Miriam" w:hint="cs"/>
          <w:b/>
          <w:spacing w:val="0"/>
          <w:szCs w:val="24"/>
          <w:rtl/>
        </w:rPr>
        <w:t xml:space="preserve"> </w:t>
      </w:r>
      <w:r w:rsidRPr="00713BE6">
        <w:rPr>
          <w:rFonts w:ascii="Century" w:hAnsi="Century" w:hint="eastAsia"/>
          <w:rtl/>
        </w:rPr>
        <w:t>ז</w:t>
      </w:r>
      <w:r w:rsidRPr="00713BE6">
        <w:rPr>
          <w:rFonts w:ascii="Century" w:hAnsi="Century"/>
          <w:rtl/>
        </w:rPr>
        <w:t>"</w:t>
      </w:r>
      <w:r w:rsidRPr="00713BE6">
        <w:rPr>
          <w:rFonts w:ascii="Century" w:hAnsi="Century" w:hint="eastAsia"/>
          <w:rtl/>
        </w:rPr>
        <w:t>ל</w:t>
      </w:r>
      <w:r>
        <w:rPr>
          <w:rFonts w:hint="cs"/>
          <w:rtl/>
        </w:rPr>
        <w:t xml:space="preserve">, והשופטת </w:t>
      </w:r>
      <w:r w:rsidRPr="0097753A">
        <w:rPr>
          <w:rFonts w:ascii="Century" w:hAnsi="Century" w:cs="Miriam" w:hint="cs"/>
          <w:b/>
          <w:spacing w:val="0"/>
          <w:szCs w:val="24"/>
          <w:rtl/>
        </w:rPr>
        <w:t>א' הלמן</w:t>
      </w:r>
      <w:r>
        <w:rPr>
          <w:rFonts w:hint="cs"/>
          <w:rtl/>
        </w:rPr>
        <w:t xml:space="preserve">. </w:t>
      </w:r>
    </w:p>
    <w:p w:rsidR="003C5F47" w:rsidRDefault="003C5F47" w:rsidP="003C5F47">
      <w:pPr>
        <w:pStyle w:val="Ruller41"/>
        <w:ind w:left="720"/>
      </w:pPr>
    </w:p>
    <w:p w:rsidR="003C5F47" w:rsidRDefault="003C5F47" w:rsidP="003C5F47">
      <w:pPr>
        <w:pStyle w:val="Ruller41"/>
        <w:numPr>
          <w:ilvl w:val="0"/>
          <w:numId w:val="13"/>
        </w:numPr>
        <w:rPr>
          <w:rtl/>
        </w:rPr>
      </w:pPr>
      <w:r>
        <w:rPr>
          <w:rFonts w:hint="cs"/>
          <w:rtl/>
        </w:rPr>
        <w:t xml:space="preserve">המשיב שב וערער על פסק דינו הכולל של בית המשפט המחוזי בפני בית משפט זה, וביום 23.12.2015 דחה בית משפט זה (השופטים </w:t>
      </w:r>
      <w:r w:rsidRPr="005C452B">
        <w:rPr>
          <w:rFonts w:ascii="Century" w:hAnsi="Century" w:cs="Miriam" w:hint="cs"/>
          <w:b/>
          <w:spacing w:val="0"/>
          <w:szCs w:val="24"/>
          <w:rtl/>
        </w:rPr>
        <w:t xml:space="preserve">י' </w:t>
      </w:r>
      <w:proofErr w:type="spellStart"/>
      <w:r w:rsidRPr="005C452B">
        <w:rPr>
          <w:rFonts w:ascii="Century" w:hAnsi="Century" w:cs="Miriam" w:hint="cs"/>
          <w:b/>
          <w:spacing w:val="0"/>
          <w:szCs w:val="24"/>
          <w:rtl/>
        </w:rPr>
        <w:t>דנציגר</w:t>
      </w:r>
      <w:proofErr w:type="spellEnd"/>
      <w:r>
        <w:rPr>
          <w:rFonts w:hint="cs"/>
          <w:rtl/>
        </w:rPr>
        <w:t xml:space="preserve">, </w:t>
      </w:r>
      <w:r w:rsidRPr="005C452B">
        <w:rPr>
          <w:rFonts w:ascii="Century" w:hAnsi="Century" w:cs="Miriam" w:hint="cs"/>
          <w:b/>
          <w:spacing w:val="0"/>
          <w:szCs w:val="24"/>
          <w:rtl/>
        </w:rPr>
        <w:t>י' עמית</w:t>
      </w:r>
      <w:r>
        <w:rPr>
          <w:rFonts w:hint="cs"/>
          <w:rtl/>
        </w:rPr>
        <w:t xml:space="preserve"> ו</w:t>
      </w:r>
      <w:r w:rsidRPr="005C452B">
        <w:rPr>
          <w:rFonts w:ascii="Century" w:hAnsi="Century" w:cs="Miriam" w:hint="cs"/>
          <w:b/>
          <w:spacing w:val="0"/>
          <w:szCs w:val="24"/>
          <w:rtl/>
        </w:rPr>
        <w:t xml:space="preserve">צ' </w:t>
      </w:r>
      <w:proofErr w:type="spellStart"/>
      <w:r w:rsidRPr="005C452B">
        <w:rPr>
          <w:rFonts w:ascii="Century" w:hAnsi="Century" w:cs="Miriam" w:hint="cs"/>
          <w:b/>
          <w:spacing w:val="0"/>
          <w:szCs w:val="24"/>
          <w:rtl/>
        </w:rPr>
        <w:t>זילברטל</w:t>
      </w:r>
      <w:proofErr w:type="spellEnd"/>
      <w:r>
        <w:rPr>
          <w:rFonts w:hint="cs"/>
          <w:rtl/>
        </w:rPr>
        <w:t xml:space="preserve">) את הערעור. פסק דין זה ניתן ברוב דעות כנגד דעתו החולקת של השופט </w:t>
      </w:r>
      <w:proofErr w:type="spellStart"/>
      <w:r w:rsidRPr="005C452B">
        <w:rPr>
          <w:rFonts w:ascii="Century" w:hAnsi="Century" w:cs="Miriam" w:hint="cs"/>
          <w:b/>
          <w:spacing w:val="0"/>
          <w:szCs w:val="24"/>
          <w:rtl/>
        </w:rPr>
        <w:t>דנציגר</w:t>
      </w:r>
      <w:proofErr w:type="spellEnd"/>
      <w:r>
        <w:rPr>
          <w:rFonts w:hint="cs"/>
          <w:rtl/>
        </w:rPr>
        <w:t xml:space="preserve">, אשר סבר כי מן הדין לזכות את המשיב מחמת הספק. בקשת המשיב לקיום דיון נוסף בפסק הדין שניתן בעניינו בבית משפט זה נדחתה על ידי הנשיאה </w:t>
      </w:r>
      <w:r w:rsidRPr="005C452B">
        <w:rPr>
          <w:rFonts w:ascii="Century" w:hAnsi="Century" w:cs="Miriam" w:hint="cs"/>
          <w:b/>
          <w:spacing w:val="0"/>
          <w:szCs w:val="24"/>
          <w:rtl/>
        </w:rPr>
        <w:t>מ' נאור</w:t>
      </w:r>
      <w:r>
        <w:rPr>
          <w:rFonts w:hint="cs"/>
          <w:rtl/>
        </w:rPr>
        <w:t xml:space="preserve"> בהחלטתה מיום 5.7.2016 </w:t>
      </w:r>
      <w:proofErr w:type="spellStart"/>
      <w:r>
        <w:rPr>
          <w:rFonts w:hint="cs"/>
          <w:rtl/>
        </w:rPr>
        <w:t>בדנ"פ</w:t>
      </w:r>
      <w:proofErr w:type="spellEnd"/>
      <w:r>
        <w:rPr>
          <w:rFonts w:hint="cs"/>
          <w:rtl/>
        </w:rPr>
        <w:t xml:space="preserve"> 1329/16.</w:t>
      </w:r>
    </w:p>
    <w:p w:rsidR="003C5F47" w:rsidRPr="00FB2AE9" w:rsidRDefault="003C5F47" w:rsidP="003C5F47">
      <w:pPr>
        <w:pStyle w:val="Ruller41"/>
      </w:pPr>
    </w:p>
    <w:p w:rsidR="003C5F47" w:rsidRDefault="003C5F47" w:rsidP="003C5F47">
      <w:pPr>
        <w:pStyle w:val="Ruller4"/>
        <w:rPr>
          <w:rtl/>
        </w:rPr>
      </w:pPr>
      <w:r>
        <w:rPr>
          <w:rFonts w:hint="cs"/>
          <w:rtl/>
        </w:rPr>
        <w:t xml:space="preserve">המשיב נעצר עד תום ההליכים ביום 1.3.2007 על פי החלטתה של השופטת </w:t>
      </w:r>
      <w:r w:rsidRPr="00567CA8">
        <w:rPr>
          <w:rFonts w:ascii="Century" w:hAnsi="Century" w:cs="Miriam" w:hint="cs"/>
          <w:b/>
          <w:spacing w:val="0"/>
          <w:sz w:val="22"/>
          <w:szCs w:val="24"/>
          <w:rtl/>
        </w:rPr>
        <w:t>ג' (דה-ליאו) לוי</w:t>
      </w:r>
      <w:r>
        <w:rPr>
          <w:rFonts w:hint="cs"/>
          <w:rtl/>
        </w:rPr>
        <w:t xml:space="preserve"> בב"ש (מחוזי נצרת) 1139/07. קודם לכן, נעצר המשיב במסגרת חקירת הרצח ביום 12.12.2006. מאז ועד היום שוהה המשיב מאחורי סורג ובריח ללא חופשות.</w:t>
      </w:r>
    </w:p>
    <w:p w:rsidR="003C5F47" w:rsidRPr="003B5E51" w:rsidRDefault="003C5F47" w:rsidP="003C5F47">
      <w:pPr>
        <w:pStyle w:val="Ruller41"/>
      </w:pPr>
    </w:p>
    <w:p w:rsidR="003C5F47" w:rsidRDefault="003C5F47" w:rsidP="003C5F47">
      <w:pPr>
        <w:pStyle w:val="Ruller4"/>
        <w:rPr>
          <w:rtl/>
        </w:rPr>
      </w:pPr>
      <w:r>
        <w:rPr>
          <w:rFonts w:hint="cs"/>
          <w:rtl/>
        </w:rPr>
        <w:t>ההחלטה בדבר המשפט החוזר התבססה, בעיקרה, על שני אלה:</w:t>
      </w:r>
    </w:p>
    <w:p w:rsidR="003C5F47" w:rsidRDefault="003C5F47" w:rsidP="003C5F47">
      <w:pPr>
        <w:pStyle w:val="Ruller41"/>
        <w:rPr>
          <w:rtl/>
        </w:rPr>
      </w:pPr>
    </w:p>
    <w:p w:rsidR="003C5F47" w:rsidRDefault="003C5F47" w:rsidP="003C5F47">
      <w:pPr>
        <w:pStyle w:val="Ruller41"/>
        <w:numPr>
          <w:ilvl w:val="0"/>
          <w:numId w:val="14"/>
        </w:numPr>
      </w:pPr>
      <w:r w:rsidRPr="0090364A">
        <w:rPr>
          <w:rFonts w:ascii="Century" w:hAnsi="Century" w:cs="Miriam" w:hint="cs"/>
          <w:b/>
          <w:spacing w:val="0"/>
          <w:szCs w:val="24"/>
          <w:rtl/>
        </w:rPr>
        <w:t>עקבות הנעליים הזרות בתא השירותים ב</w:t>
      </w:r>
      <w:r>
        <w:rPr>
          <w:rFonts w:ascii="Century" w:hAnsi="Century" w:cs="Miriam" w:hint="cs"/>
          <w:b/>
          <w:spacing w:val="0"/>
          <w:szCs w:val="24"/>
          <w:rtl/>
        </w:rPr>
        <w:t>ו</w:t>
      </w:r>
      <w:r w:rsidRPr="0090364A">
        <w:rPr>
          <w:rFonts w:ascii="Century" w:hAnsi="Century" w:cs="Miriam" w:hint="cs"/>
          <w:b/>
          <w:spacing w:val="0"/>
          <w:szCs w:val="24"/>
          <w:rtl/>
        </w:rPr>
        <w:t xml:space="preserve"> מצאה המנוחה את מותה.</w:t>
      </w:r>
      <w:r>
        <w:rPr>
          <w:rFonts w:hint="cs"/>
          <w:rtl/>
        </w:rPr>
        <w:t xml:space="preserve"> בתא השירותים בו נרצחה המנוחה נמצאו עקבות נעליים חלקיות שאינן שייכות למשיב, ועל אחת מהן נמצא דם המנוחה. המשנה לנשיאה </w:t>
      </w:r>
      <w:r w:rsidRPr="00864FC2">
        <w:rPr>
          <w:rFonts w:ascii="Century" w:hAnsi="Century" w:cs="Miriam" w:hint="cs"/>
          <w:b/>
          <w:spacing w:val="0"/>
          <w:szCs w:val="24"/>
          <w:rtl/>
        </w:rPr>
        <w:t>מלצר</w:t>
      </w:r>
      <w:r>
        <w:rPr>
          <w:rFonts w:hint="cs"/>
          <w:rtl/>
        </w:rPr>
        <w:t xml:space="preserve"> קבע בעניין עקבות נעליים אלה כדלקמן: </w:t>
      </w:r>
    </w:p>
    <w:p w:rsidR="003C5F47" w:rsidRDefault="003C5F47" w:rsidP="003C5F47">
      <w:pPr>
        <w:pStyle w:val="Ruller41"/>
        <w:rPr>
          <w:rtl/>
        </w:rPr>
      </w:pPr>
    </w:p>
    <w:p w:rsidR="003C5F47" w:rsidRDefault="003C5F47" w:rsidP="003C5F47">
      <w:pPr>
        <w:pStyle w:val="Ruller5"/>
        <w:rPr>
          <w:rtl/>
        </w:rPr>
      </w:pPr>
      <w:r>
        <w:rPr>
          <w:rFonts w:hint="cs"/>
          <w:rtl/>
        </w:rPr>
        <w:t>"</w:t>
      </w:r>
      <w:r>
        <w:rPr>
          <w:rFonts w:hint="eastAsia"/>
          <w:rtl/>
        </w:rPr>
        <w:t>ההסכמה</w:t>
      </w:r>
      <w:r>
        <w:rPr>
          <w:rtl/>
        </w:rPr>
        <w:t xml:space="preserve"> </w:t>
      </w:r>
      <w:r>
        <w:rPr>
          <w:rFonts w:hint="eastAsia"/>
          <w:rtl/>
        </w:rPr>
        <w:t>העקרונית</w:t>
      </w:r>
      <w:r>
        <w:rPr>
          <w:rtl/>
        </w:rPr>
        <w:t xml:space="preserve"> </w:t>
      </w:r>
      <w:r>
        <w:rPr>
          <w:rFonts w:hint="eastAsia"/>
          <w:rtl/>
        </w:rPr>
        <w:t>לכך</w:t>
      </w:r>
      <w:r>
        <w:rPr>
          <w:rtl/>
        </w:rPr>
        <w:t xml:space="preserve"> </w:t>
      </w:r>
      <w:r>
        <w:rPr>
          <w:rFonts w:hint="eastAsia"/>
          <w:rtl/>
        </w:rPr>
        <w:t>שזליגת</w:t>
      </w:r>
      <w:r>
        <w:rPr>
          <w:rtl/>
        </w:rPr>
        <w:t xml:space="preserve"> </w:t>
      </w:r>
      <w:r>
        <w:rPr>
          <w:rFonts w:hint="eastAsia"/>
          <w:rtl/>
        </w:rPr>
        <w:t>הדם</w:t>
      </w:r>
      <w:r>
        <w:rPr>
          <w:rtl/>
        </w:rPr>
        <w:t xml:space="preserve"> </w:t>
      </w:r>
      <w:r>
        <w:rPr>
          <w:rFonts w:hint="eastAsia"/>
          <w:rtl/>
        </w:rPr>
        <w:t>מגופת</w:t>
      </w:r>
      <w:r>
        <w:rPr>
          <w:rtl/>
        </w:rPr>
        <w:t xml:space="preserve"> </w:t>
      </w:r>
      <w:r>
        <w:rPr>
          <w:rFonts w:hint="eastAsia"/>
          <w:rtl/>
        </w:rPr>
        <w:t>המנוחה</w:t>
      </w:r>
      <w:r>
        <w:rPr>
          <w:rtl/>
        </w:rPr>
        <w:t xml:space="preserve"> </w:t>
      </w:r>
      <w:r>
        <w:rPr>
          <w:rFonts w:hint="eastAsia"/>
          <w:rtl/>
        </w:rPr>
        <w:t>שעות</w:t>
      </w:r>
      <w:r>
        <w:rPr>
          <w:rtl/>
        </w:rPr>
        <w:t xml:space="preserve"> </w:t>
      </w:r>
      <w:r>
        <w:rPr>
          <w:rFonts w:hint="eastAsia"/>
          <w:rtl/>
        </w:rPr>
        <w:t>לאחר</w:t>
      </w:r>
      <w:r>
        <w:rPr>
          <w:rtl/>
        </w:rPr>
        <w:t xml:space="preserve"> </w:t>
      </w:r>
      <w:r>
        <w:rPr>
          <w:rFonts w:hint="eastAsia"/>
          <w:rtl/>
        </w:rPr>
        <w:t>הרצח</w:t>
      </w:r>
      <w:r>
        <w:rPr>
          <w:rtl/>
        </w:rPr>
        <w:t xml:space="preserve"> </w:t>
      </w:r>
      <w:r>
        <w:rPr>
          <w:rFonts w:hint="eastAsia"/>
          <w:rtl/>
        </w:rPr>
        <w:t>איננה</w:t>
      </w:r>
      <w:r>
        <w:rPr>
          <w:rtl/>
        </w:rPr>
        <w:t xml:space="preserve"> </w:t>
      </w:r>
      <w:r>
        <w:rPr>
          <w:rFonts w:hint="eastAsia"/>
          <w:rtl/>
        </w:rPr>
        <w:t>מסתברת</w:t>
      </w:r>
      <w:r>
        <w:rPr>
          <w:rtl/>
        </w:rPr>
        <w:t xml:space="preserve"> </w:t>
      </w:r>
      <w:r>
        <w:rPr>
          <w:rFonts w:hint="eastAsia"/>
          <w:rtl/>
        </w:rPr>
        <w:t>בנסיבות</w:t>
      </w:r>
      <w:r>
        <w:rPr>
          <w:rtl/>
        </w:rPr>
        <w:t xml:space="preserve"> </w:t>
      </w:r>
      <w:r>
        <w:rPr>
          <w:rFonts w:hint="eastAsia"/>
          <w:rtl/>
        </w:rPr>
        <w:t>העניין</w:t>
      </w:r>
      <w:r>
        <w:rPr>
          <w:rtl/>
        </w:rPr>
        <w:t xml:space="preserve">, </w:t>
      </w:r>
      <w:r>
        <w:rPr>
          <w:rFonts w:hint="eastAsia"/>
          <w:rtl/>
        </w:rPr>
        <w:t>והקושי</w:t>
      </w:r>
      <w:r>
        <w:rPr>
          <w:rtl/>
        </w:rPr>
        <w:t xml:space="preserve"> </w:t>
      </w:r>
      <w:r>
        <w:rPr>
          <w:rFonts w:hint="eastAsia"/>
          <w:rtl/>
        </w:rPr>
        <w:t>לקבוע</w:t>
      </w:r>
      <w:r>
        <w:rPr>
          <w:rtl/>
        </w:rPr>
        <w:t xml:space="preserve"> </w:t>
      </w:r>
      <w:r>
        <w:rPr>
          <w:rFonts w:hint="eastAsia"/>
          <w:rtl/>
        </w:rPr>
        <w:t>ממצא</w:t>
      </w:r>
      <w:r>
        <w:rPr>
          <w:rtl/>
        </w:rPr>
        <w:t xml:space="preserve"> </w:t>
      </w:r>
      <w:r>
        <w:rPr>
          <w:rFonts w:hint="eastAsia"/>
          <w:rtl/>
        </w:rPr>
        <w:t>ברור</w:t>
      </w:r>
      <w:r>
        <w:rPr>
          <w:rtl/>
        </w:rPr>
        <w:t xml:space="preserve"> </w:t>
      </w:r>
      <w:r>
        <w:rPr>
          <w:rFonts w:hint="eastAsia"/>
          <w:rtl/>
        </w:rPr>
        <w:t>לגבי</w:t>
      </w:r>
      <w:r>
        <w:rPr>
          <w:rtl/>
        </w:rPr>
        <w:t xml:space="preserve"> </w:t>
      </w:r>
      <w:r>
        <w:rPr>
          <w:rFonts w:hint="eastAsia"/>
          <w:rtl/>
        </w:rPr>
        <w:t>האפשרות</w:t>
      </w:r>
      <w:r>
        <w:rPr>
          <w:rtl/>
        </w:rPr>
        <w:t xml:space="preserve"> </w:t>
      </w:r>
      <w:r>
        <w:rPr>
          <w:rFonts w:hint="eastAsia"/>
          <w:rtl/>
        </w:rPr>
        <w:t>כי</w:t>
      </w:r>
      <w:r>
        <w:rPr>
          <w:rtl/>
        </w:rPr>
        <w:t xml:space="preserve"> </w:t>
      </w:r>
      <w:r>
        <w:rPr>
          <w:rFonts w:hint="eastAsia"/>
          <w:rtl/>
        </w:rPr>
        <w:t>זליגת</w:t>
      </w:r>
      <w:r>
        <w:rPr>
          <w:rtl/>
        </w:rPr>
        <w:t xml:space="preserve"> </w:t>
      </w:r>
      <w:r>
        <w:rPr>
          <w:rFonts w:hint="eastAsia"/>
          <w:rtl/>
        </w:rPr>
        <w:t>הדם</w:t>
      </w:r>
      <w:r>
        <w:rPr>
          <w:rtl/>
        </w:rPr>
        <w:t xml:space="preserve"> </w:t>
      </w:r>
      <w:r>
        <w:rPr>
          <w:rFonts w:hint="eastAsia"/>
          <w:rtl/>
        </w:rPr>
        <w:t>נבעה</w:t>
      </w:r>
      <w:r>
        <w:rPr>
          <w:rtl/>
        </w:rPr>
        <w:t xml:space="preserve"> </w:t>
      </w:r>
      <w:r>
        <w:rPr>
          <w:rFonts w:hint="eastAsia"/>
          <w:rtl/>
        </w:rPr>
        <w:t>מדם</w:t>
      </w:r>
      <w:r>
        <w:rPr>
          <w:rtl/>
        </w:rPr>
        <w:t xml:space="preserve"> </w:t>
      </w:r>
      <w:r>
        <w:rPr>
          <w:rFonts w:hint="eastAsia"/>
          <w:rtl/>
        </w:rPr>
        <w:t>שנקווה</w:t>
      </w:r>
      <w:r>
        <w:rPr>
          <w:rtl/>
        </w:rPr>
        <w:t xml:space="preserve"> </w:t>
      </w:r>
      <w:r>
        <w:rPr>
          <w:rFonts w:hint="eastAsia"/>
          <w:rtl/>
        </w:rPr>
        <w:t>במקור</w:t>
      </w:r>
      <w:r>
        <w:rPr>
          <w:rtl/>
        </w:rPr>
        <w:t xml:space="preserve"> </w:t>
      </w:r>
      <w:r>
        <w:rPr>
          <w:rFonts w:hint="eastAsia"/>
          <w:rtl/>
        </w:rPr>
        <w:t>חיצוני</w:t>
      </w:r>
      <w:r>
        <w:rPr>
          <w:rtl/>
        </w:rPr>
        <w:t xml:space="preserve"> </w:t>
      </w:r>
      <w:r>
        <w:rPr>
          <w:rFonts w:hint="eastAsia"/>
          <w:rtl/>
        </w:rPr>
        <w:t>לגופה</w:t>
      </w:r>
      <w:r>
        <w:rPr>
          <w:rtl/>
        </w:rPr>
        <w:t xml:space="preserve">, </w:t>
      </w:r>
      <w:r>
        <w:rPr>
          <w:rFonts w:hint="eastAsia"/>
          <w:rtl/>
        </w:rPr>
        <w:t>וזלג</w:t>
      </w:r>
      <w:r>
        <w:rPr>
          <w:rtl/>
        </w:rPr>
        <w:t xml:space="preserve"> </w:t>
      </w:r>
      <w:r>
        <w:rPr>
          <w:rFonts w:hint="eastAsia"/>
          <w:rtl/>
        </w:rPr>
        <w:t>על</w:t>
      </w:r>
      <w:r>
        <w:rPr>
          <w:rtl/>
        </w:rPr>
        <w:t xml:space="preserve"> </w:t>
      </w:r>
      <w:r>
        <w:rPr>
          <w:rFonts w:hint="eastAsia"/>
          <w:rtl/>
        </w:rPr>
        <w:t>העקבה</w:t>
      </w:r>
      <w:r>
        <w:rPr>
          <w:rtl/>
        </w:rPr>
        <w:t xml:space="preserve"> </w:t>
      </w:r>
      <w:r>
        <w:rPr>
          <w:rFonts w:hint="eastAsia"/>
          <w:rtl/>
        </w:rPr>
        <w:t>מספר</w:t>
      </w:r>
      <w:r>
        <w:rPr>
          <w:rtl/>
        </w:rPr>
        <w:t xml:space="preserve"> </w:t>
      </w:r>
      <w:r>
        <w:rPr>
          <w:rFonts w:hint="eastAsia"/>
          <w:rtl/>
        </w:rPr>
        <w:t>שעות</w:t>
      </w:r>
      <w:r>
        <w:rPr>
          <w:rtl/>
        </w:rPr>
        <w:t xml:space="preserve"> </w:t>
      </w:r>
      <w:r>
        <w:rPr>
          <w:rFonts w:hint="eastAsia"/>
          <w:rtl/>
        </w:rPr>
        <w:t>לאחר</w:t>
      </w:r>
      <w:r>
        <w:rPr>
          <w:rtl/>
        </w:rPr>
        <w:t xml:space="preserve"> </w:t>
      </w:r>
      <w:r>
        <w:rPr>
          <w:rFonts w:hint="eastAsia"/>
          <w:rtl/>
        </w:rPr>
        <w:t>מכן</w:t>
      </w:r>
      <w:r>
        <w:rPr>
          <w:rtl/>
        </w:rPr>
        <w:t xml:space="preserve"> – </w:t>
      </w:r>
      <w:r>
        <w:rPr>
          <w:rFonts w:hint="eastAsia"/>
          <w:rtl/>
        </w:rPr>
        <w:t>הן</w:t>
      </w:r>
      <w:r>
        <w:rPr>
          <w:rtl/>
        </w:rPr>
        <w:t xml:space="preserve"> </w:t>
      </w:r>
      <w:r>
        <w:rPr>
          <w:rFonts w:hint="eastAsia"/>
          <w:rtl/>
        </w:rPr>
        <w:t>נקודות</w:t>
      </w:r>
      <w:r>
        <w:rPr>
          <w:rtl/>
        </w:rPr>
        <w:t xml:space="preserve"> </w:t>
      </w:r>
      <w:r>
        <w:rPr>
          <w:rFonts w:hint="eastAsia"/>
          <w:rtl/>
        </w:rPr>
        <w:t>מרכזיות</w:t>
      </w:r>
      <w:r>
        <w:rPr>
          <w:rtl/>
        </w:rPr>
        <w:t xml:space="preserve"> </w:t>
      </w:r>
      <w:r>
        <w:rPr>
          <w:rFonts w:hint="eastAsia"/>
          <w:rtl/>
        </w:rPr>
        <w:t>שעשויות</w:t>
      </w:r>
      <w:r>
        <w:rPr>
          <w:rtl/>
        </w:rPr>
        <w:t xml:space="preserve"> </w:t>
      </w:r>
      <w:r>
        <w:rPr>
          <w:rFonts w:hint="eastAsia"/>
          <w:rtl/>
        </w:rPr>
        <w:t>לשפוך</w:t>
      </w:r>
      <w:r>
        <w:rPr>
          <w:rtl/>
        </w:rPr>
        <w:t xml:space="preserve"> </w:t>
      </w:r>
      <w:r>
        <w:rPr>
          <w:rFonts w:hint="eastAsia"/>
          <w:rtl/>
        </w:rPr>
        <w:t>אור</w:t>
      </w:r>
      <w:r>
        <w:rPr>
          <w:rtl/>
        </w:rPr>
        <w:t xml:space="preserve"> </w:t>
      </w:r>
      <w:r>
        <w:rPr>
          <w:rFonts w:hint="eastAsia"/>
          <w:rtl/>
        </w:rPr>
        <w:t>על</w:t>
      </w:r>
      <w:r>
        <w:rPr>
          <w:rtl/>
        </w:rPr>
        <w:t xml:space="preserve"> </w:t>
      </w:r>
      <w:r>
        <w:rPr>
          <w:rFonts w:hint="eastAsia"/>
          <w:rtl/>
        </w:rPr>
        <w:t>מעמדן</w:t>
      </w:r>
      <w:r>
        <w:rPr>
          <w:rtl/>
        </w:rPr>
        <w:t xml:space="preserve"> </w:t>
      </w:r>
      <w:r>
        <w:rPr>
          <w:rFonts w:hint="eastAsia"/>
          <w:rtl/>
        </w:rPr>
        <w:t>הראייתי</w:t>
      </w:r>
      <w:r>
        <w:rPr>
          <w:rtl/>
        </w:rPr>
        <w:t xml:space="preserve"> </w:t>
      </w:r>
      <w:r>
        <w:rPr>
          <w:rFonts w:hint="eastAsia"/>
          <w:rtl/>
        </w:rPr>
        <w:t>של</w:t>
      </w:r>
      <w:r>
        <w:rPr>
          <w:rtl/>
        </w:rPr>
        <w:t xml:space="preserve"> </w:t>
      </w:r>
      <w:r>
        <w:rPr>
          <w:rFonts w:hint="eastAsia"/>
          <w:rtl/>
        </w:rPr>
        <w:t>עקבות</w:t>
      </w:r>
      <w:r>
        <w:rPr>
          <w:rtl/>
        </w:rPr>
        <w:t xml:space="preserve"> </w:t>
      </w:r>
      <w:r>
        <w:rPr>
          <w:rFonts w:hint="eastAsia"/>
          <w:rtl/>
        </w:rPr>
        <w:t>הנעליים</w:t>
      </w:r>
      <w:r>
        <w:rPr>
          <w:rtl/>
        </w:rPr>
        <w:t xml:space="preserve"> </w:t>
      </w:r>
      <w:r>
        <w:rPr>
          <w:rFonts w:hint="eastAsia"/>
          <w:rtl/>
        </w:rPr>
        <w:t>הזרות</w:t>
      </w:r>
      <w:r>
        <w:rPr>
          <w:rtl/>
        </w:rPr>
        <w:t xml:space="preserve">. </w:t>
      </w:r>
      <w:r>
        <w:rPr>
          <w:rFonts w:hint="eastAsia"/>
          <w:rtl/>
        </w:rPr>
        <w:t>בהקשר</w:t>
      </w:r>
      <w:r>
        <w:rPr>
          <w:rtl/>
        </w:rPr>
        <w:t xml:space="preserve"> </w:t>
      </w:r>
      <w:r>
        <w:rPr>
          <w:rFonts w:hint="eastAsia"/>
          <w:rtl/>
        </w:rPr>
        <w:t>זה</w:t>
      </w:r>
      <w:r>
        <w:rPr>
          <w:rtl/>
        </w:rPr>
        <w:t xml:space="preserve">, </w:t>
      </w:r>
      <w:r>
        <w:rPr>
          <w:rFonts w:hint="eastAsia"/>
          <w:rtl/>
        </w:rPr>
        <w:t>חשוב</w:t>
      </w:r>
      <w:r>
        <w:rPr>
          <w:rtl/>
        </w:rPr>
        <w:t xml:space="preserve"> </w:t>
      </w:r>
      <w:r>
        <w:rPr>
          <w:rFonts w:hint="eastAsia"/>
          <w:rtl/>
        </w:rPr>
        <w:t>לציין</w:t>
      </w:r>
      <w:r>
        <w:rPr>
          <w:rtl/>
        </w:rPr>
        <w:t xml:space="preserve"> </w:t>
      </w:r>
      <w:r>
        <w:rPr>
          <w:rFonts w:hint="eastAsia"/>
          <w:rtl/>
        </w:rPr>
        <w:t>כי</w:t>
      </w:r>
      <w:r>
        <w:rPr>
          <w:rtl/>
        </w:rPr>
        <w:t xml:space="preserve"> </w:t>
      </w:r>
      <w:r>
        <w:rPr>
          <w:rFonts w:hint="eastAsia"/>
          <w:rtl/>
        </w:rPr>
        <w:t>מעמדה</w:t>
      </w:r>
      <w:r>
        <w:rPr>
          <w:rtl/>
        </w:rPr>
        <w:t xml:space="preserve"> </w:t>
      </w:r>
      <w:r>
        <w:rPr>
          <w:rFonts w:hint="eastAsia"/>
          <w:rtl/>
        </w:rPr>
        <w:t>הראייתי</w:t>
      </w:r>
      <w:r>
        <w:rPr>
          <w:rtl/>
        </w:rPr>
        <w:t xml:space="preserve"> </w:t>
      </w:r>
      <w:r>
        <w:rPr>
          <w:rFonts w:hint="eastAsia"/>
          <w:rtl/>
        </w:rPr>
        <w:t>של</w:t>
      </w:r>
      <w:r>
        <w:rPr>
          <w:rtl/>
        </w:rPr>
        <w:t xml:space="preserve"> </w:t>
      </w:r>
      <w:r>
        <w:rPr>
          <w:rFonts w:hint="eastAsia"/>
          <w:rtl/>
        </w:rPr>
        <w:t>נזילת</w:t>
      </w:r>
      <w:r>
        <w:rPr>
          <w:rtl/>
        </w:rPr>
        <w:t xml:space="preserve"> </w:t>
      </w:r>
      <w:r>
        <w:rPr>
          <w:rFonts w:hint="eastAsia"/>
          <w:rtl/>
        </w:rPr>
        <w:t>הדם</w:t>
      </w:r>
      <w:r>
        <w:rPr>
          <w:rtl/>
        </w:rPr>
        <w:t xml:space="preserve"> </w:t>
      </w:r>
      <w:r>
        <w:rPr>
          <w:rFonts w:hint="eastAsia"/>
          <w:rtl/>
        </w:rPr>
        <w:t>על</w:t>
      </w:r>
      <w:r>
        <w:rPr>
          <w:rtl/>
        </w:rPr>
        <w:t xml:space="preserve"> </w:t>
      </w:r>
      <w:r>
        <w:rPr>
          <w:rFonts w:hint="eastAsia"/>
          <w:rtl/>
        </w:rPr>
        <w:t>גבי</w:t>
      </w:r>
      <w:r>
        <w:rPr>
          <w:rtl/>
        </w:rPr>
        <w:t xml:space="preserve"> </w:t>
      </w:r>
      <w:r>
        <w:rPr>
          <w:rFonts w:hint="eastAsia"/>
          <w:rtl/>
        </w:rPr>
        <w:t>העקבה</w:t>
      </w:r>
      <w:r>
        <w:rPr>
          <w:rtl/>
        </w:rPr>
        <w:t xml:space="preserve"> </w:t>
      </w:r>
      <w:r>
        <w:rPr>
          <w:rFonts w:hint="eastAsia"/>
          <w:rtl/>
        </w:rPr>
        <w:t>שנמצאה</w:t>
      </w:r>
      <w:r>
        <w:rPr>
          <w:rtl/>
        </w:rPr>
        <w:t xml:space="preserve"> </w:t>
      </w:r>
      <w:r>
        <w:rPr>
          <w:rFonts w:hint="eastAsia"/>
          <w:rtl/>
        </w:rPr>
        <w:t>על</w:t>
      </w:r>
      <w:r>
        <w:rPr>
          <w:rtl/>
        </w:rPr>
        <w:t xml:space="preserve"> </w:t>
      </w:r>
      <w:r>
        <w:rPr>
          <w:rFonts w:hint="eastAsia"/>
          <w:rtl/>
        </w:rPr>
        <w:t>מכסה</w:t>
      </w:r>
      <w:r>
        <w:rPr>
          <w:rtl/>
        </w:rPr>
        <w:t xml:space="preserve"> </w:t>
      </w:r>
      <w:r>
        <w:rPr>
          <w:rFonts w:hint="eastAsia"/>
          <w:rtl/>
        </w:rPr>
        <w:t>האסלה</w:t>
      </w:r>
      <w:r>
        <w:rPr>
          <w:rtl/>
        </w:rPr>
        <w:t xml:space="preserve"> – </w:t>
      </w:r>
      <w:r>
        <w:rPr>
          <w:rFonts w:hint="eastAsia"/>
          <w:rtl/>
        </w:rPr>
        <w:t>שונה</w:t>
      </w:r>
      <w:r>
        <w:rPr>
          <w:rtl/>
        </w:rPr>
        <w:t xml:space="preserve"> </w:t>
      </w:r>
      <w:r>
        <w:rPr>
          <w:rFonts w:hint="eastAsia"/>
          <w:rtl/>
        </w:rPr>
        <w:t>שוני</w:t>
      </w:r>
      <w:r>
        <w:rPr>
          <w:rtl/>
        </w:rPr>
        <w:t xml:space="preserve"> </w:t>
      </w:r>
      <w:r>
        <w:rPr>
          <w:rFonts w:hint="eastAsia"/>
          <w:rtl/>
        </w:rPr>
        <w:t>איכותי</w:t>
      </w:r>
      <w:r>
        <w:rPr>
          <w:rtl/>
        </w:rPr>
        <w:t xml:space="preserve"> </w:t>
      </w:r>
      <w:r>
        <w:rPr>
          <w:rFonts w:hint="eastAsia"/>
          <w:rtl/>
        </w:rPr>
        <w:t>מתעלומת</w:t>
      </w:r>
      <w:r>
        <w:rPr>
          <w:rtl/>
        </w:rPr>
        <w:t xml:space="preserve"> </w:t>
      </w:r>
      <w:r>
        <w:rPr>
          <w:rFonts w:hint="eastAsia"/>
          <w:rtl/>
        </w:rPr>
        <w:t>עקבות</w:t>
      </w:r>
      <w:r>
        <w:rPr>
          <w:rtl/>
        </w:rPr>
        <w:t xml:space="preserve"> </w:t>
      </w:r>
      <w:r>
        <w:rPr>
          <w:rFonts w:hint="eastAsia"/>
          <w:rtl/>
        </w:rPr>
        <w:t>הנעליים</w:t>
      </w:r>
      <w:r>
        <w:rPr>
          <w:rtl/>
        </w:rPr>
        <w:t xml:space="preserve"> </w:t>
      </w:r>
      <w:r>
        <w:rPr>
          <w:rFonts w:hint="eastAsia"/>
          <w:rtl/>
        </w:rPr>
        <w:t>הזרות</w:t>
      </w:r>
      <w:r>
        <w:rPr>
          <w:rtl/>
        </w:rPr>
        <w:t xml:space="preserve"> </w:t>
      </w:r>
      <w:r>
        <w:rPr>
          <w:rFonts w:hint="eastAsia"/>
          <w:rtl/>
        </w:rPr>
        <w:t>בכללותה</w:t>
      </w:r>
      <w:r>
        <w:rPr>
          <w:rtl/>
        </w:rPr>
        <w:t xml:space="preserve">. </w:t>
      </w:r>
      <w:r>
        <w:rPr>
          <w:rFonts w:hint="eastAsia"/>
          <w:rtl/>
        </w:rPr>
        <w:t>הטעם</w:t>
      </w:r>
      <w:r>
        <w:rPr>
          <w:rtl/>
        </w:rPr>
        <w:t xml:space="preserve"> </w:t>
      </w:r>
      <w:r>
        <w:rPr>
          <w:rFonts w:hint="eastAsia"/>
          <w:rtl/>
        </w:rPr>
        <w:t>לדבר</w:t>
      </w:r>
      <w:r>
        <w:rPr>
          <w:rtl/>
        </w:rPr>
        <w:t xml:space="preserve"> </w:t>
      </w:r>
      <w:r>
        <w:rPr>
          <w:rFonts w:hint="eastAsia"/>
          <w:rtl/>
        </w:rPr>
        <w:t>נעוץ</w:t>
      </w:r>
      <w:r>
        <w:rPr>
          <w:rtl/>
        </w:rPr>
        <w:t xml:space="preserve"> </w:t>
      </w:r>
      <w:r>
        <w:rPr>
          <w:rFonts w:hint="eastAsia"/>
          <w:rtl/>
        </w:rPr>
        <w:t>בכך</w:t>
      </w:r>
      <w:r>
        <w:rPr>
          <w:rtl/>
        </w:rPr>
        <w:t xml:space="preserve"> </w:t>
      </w:r>
      <w:r>
        <w:rPr>
          <w:rFonts w:hint="eastAsia"/>
          <w:rtl/>
        </w:rPr>
        <w:t>כי</w:t>
      </w:r>
      <w:r>
        <w:rPr>
          <w:rFonts w:hint="cs"/>
          <w:rtl/>
        </w:rPr>
        <w:t xml:space="preserve"> [...]</w:t>
      </w:r>
      <w:r>
        <w:rPr>
          <w:rtl/>
        </w:rPr>
        <w:t xml:space="preserve"> </w:t>
      </w:r>
      <w:r>
        <w:rPr>
          <w:rFonts w:hint="eastAsia"/>
          <w:rtl/>
        </w:rPr>
        <w:t>קבלת</w:t>
      </w:r>
      <w:r>
        <w:rPr>
          <w:rtl/>
        </w:rPr>
        <w:t xml:space="preserve"> </w:t>
      </w:r>
      <w:r>
        <w:rPr>
          <w:rFonts w:hint="eastAsia"/>
          <w:rtl/>
        </w:rPr>
        <w:t>עמדת</w:t>
      </w:r>
      <w:r>
        <w:rPr>
          <w:rtl/>
        </w:rPr>
        <w:t xml:space="preserve"> </w:t>
      </w:r>
      <w:r>
        <w:rPr>
          <w:rFonts w:hint="eastAsia"/>
          <w:rtl/>
        </w:rPr>
        <w:t>המבקש</w:t>
      </w:r>
      <w:r>
        <w:rPr>
          <w:rFonts w:hint="cs"/>
          <w:rtl/>
        </w:rPr>
        <w:t xml:space="preserve"> [המשיב דכאן </w:t>
      </w:r>
      <w:r>
        <w:rPr>
          <w:rtl/>
        </w:rPr>
        <w:t>–</w:t>
      </w:r>
      <w:r>
        <w:rPr>
          <w:rFonts w:hint="cs"/>
          <w:rtl/>
        </w:rPr>
        <w:t xml:space="preserve"> א.ש.]</w:t>
      </w:r>
      <w:r>
        <w:rPr>
          <w:rtl/>
        </w:rPr>
        <w:t xml:space="preserve"> </w:t>
      </w:r>
      <w:r>
        <w:rPr>
          <w:rFonts w:hint="eastAsia"/>
          <w:rtl/>
        </w:rPr>
        <w:t>שלפיה</w:t>
      </w:r>
      <w:r>
        <w:rPr>
          <w:rtl/>
        </w:rPr>
        <w:t xml:space="preserve"> </w:t>
      </w:r>
      <w:r>
        <w:rPr>
          <w:rFonts w:hint="eastAsia"/>
          <w:rtl/>
        </w:rPr>
        <w:t>לא</w:t>
      </w:r>
      <w:r>
        <w:rPr>
          <w:rtl/>
        </w:rPr>
        <w:t xml:space="preserve"> </w:t>
      </w:r>
      <w:r>
        <w:rPr>
          <w:rFonts w:hint="eastAsia"/>
          <w:rtl/>
        </w:rPr>
        <w:t>תיתכן</w:t>
      </w:r>
      <w:r>
        <w:rPr>
          <w:rtl/>
        </w:rPr>
        <w:t xml:space="preserve"> </w:t>
      </w:r>
      <w:r>
        <w:rPr>
          <w:rFonts w:hint="eastAsia"/>
          <w:rtl/>
        </w:rPr>
        <w:t>נזילה</w:t>
      </w:r>
      <w:r>
        <w:rPr>
          <w:rtl/>
        </w:rPr>
        <w:t xml:space="preserve"> </w:t>
      </w:r>
      <w:r>
        <w:rPr>
          <w:rFonts w:hint="eastAsia"/>
          <w:rtl/>
        </w:rPr>
        <w:t>כלשהי</w:t>
      </w:r>
      <w:r>
        <w:rPr>
          <w:rtl/>
        </w:rPr>
        <w:t xml:space="preserve"> </w:t>
      </w:r>
      <w:r>
        <w:rPr>
          <w:rFonts w:hint="eastAsia"/>
          <w:rtl/>
        </w:rPr>
        <w:t>של</w:t>
      </w:r>
      <w:r>
        <w:rPr>
          <w:rtl/>
        </w:rPr>
        <w:t xml:space="preserve"> </w:t>
      </w:r>
      <w:r>
        <w:rPr>
          <w:rFonts w:hint="eastAsia"/>
          <w:rtl/>
        </w:rPr>
        <w:t>דם</w:t>
      </w:r>
      <w:r>
        <w:rPr>
          <w:rtl/>
        </w:rPr>
        <w:t xml:space="preserve"> </w:t>
      </w:r>
      <w:r>
        <w:rPr>
          <w:rFonts w:hint="eastAsia"/>
          <w:rtl/>
        </w:rPr>
        <w:t>בכמות</w:t>
      </w:r>
      <w:r>
        <w:rPr>
          <w:rtl/>
        </w:rPr>
        <w:t xml:space="preserve"> </w:t>
      </w:r>
      <w:r>
        <w:rPr>
          <w:rFonts w:hint="eastAsia"/>
          <w:rtl/>
        </w:rPr>
        <w:t>ובאופן</w:t>
      </w:r>
      <w:r>
        <w:rPr>
          <w:rtl/>
        </w:rPr>
        <w:t xml:space="preserve"> </w:t>
      </w:r>
      <w:r>
        <w:rPr>
          <w:rFonts w:hint="eastAsia"/>
          <w:rtl/>
        </w:rPr>
        <w:t>הנראים</w:t>
      </w:r>
      <w:r>
        <w:rPr>
          <w:rtl/>
        </w:rPr>
        <w:t xml:space="preserve"> </w:t>
      </w:r>
      <w:r>
        <w:rPr>
          <w:rFonts w:hint="eastAsia"/>
          <w:rtl/>
        </w:rPr>
        <w:t>בתצלום</w:t>
      </w:r>
      <w:r>
        <w:rPr>
          <w:rtl/>
        </w:rPr>
        <w:t xml:space="preserve"> </w:t>
      </w:r>
      <w:r>
        <w:rPr>
          <w:rFonts w:hint="eastAsia"/>
          <w:rtl/>
        </w:rPr>
        <w:t>הזירה</w:t>
      </w:r>
      <w:r>
        <w:rPr>
          <w:rtl/>
        </w:rPr>
        <w:t xml:space="preserve"> – </w:t>
      </w:r>
      <w:r>
        <w:rPr>
          <w:rFonts w:hint="eastAsia"/>
          <w:rtl/>
        </w:rPr>
        <w:t>עשויה</w:t>
      </w:r>
      <w:r>
        <w:rPr>
          <w:rtl/>
        </w:rPr>
        <w:t xml:space="preserve"> </w:t>
      </w:r>
      <w:r>
        <w:rPr>
          <w:rFonts w:hint="eastAsia"/>
          <w:rtl/>
        </w:rPr>
        <w:t>להיות</w:t>
      </w:r>
      <w:r>
        <w:rPr>
          <w:rtl/>
        </w:rPr>
        <w:t xml:space="preserve"> </w:t>
      </w:r>
      <w:r>
        <w:rPr>
          <w:rFonts w:hint="eastAsia"/>
          <w:rtl/>
        </w:rPr>
        <w:t>בעלת</w:t>
      </w:r>
      <w:r>
        <w:rPr>
          <w:rtl/>
        </w:rPr>
        <w:t xml:space="preserve"> </w:t>
      </w:r>
      <w:r>
        <w:rPr>
          <w:rFonts w:hint="eastAsia"/>
          <w:rtl/>
        </w:rPr>
        <w:t>פוטנציאל</w:t>
      </w:r>
      <w:r>
        <w:rPr>
          <w:rtl/>
        </w:rPr>
        <w:t xml:space="preserve"> </w:t>
      </w:r>
      <w:r>
        <w:rPr>
          <w:rFonts w:hint="eastAsia"/>
          <w:rtl/>
        </w:rPr>
        <w:t>להביא</w:t>
      </w:r>
      <w:r>
        <w:rPr>
          <w:rtl/>
        </w:rPr>
        <w:t xml:space="preserve"> </w:t>
      </w:r>
      <w:r>
        <w:rPr>
          <w:rFonts w:hint="eastAsia"/>
          <w:rtl/>
        </w:rPr>
        <w:t>לכרסום</w:t>
      </w:r>
      <w:r>
        <w:rPr>
          <w:rtl/>
        </w:rPr>
        <w:t xml:space="preserve"> </w:t>
      </w:r>
      <w:r>
        <w:rPr>
          <w:rFonts w:hint="eastAsia"/>
          <w:rtl/>
        </w:rPr>
        <w:t>ממשי</w:t>
      </w:r>
      <w:r>
        <w:rPr>
          <w:rtl/>
        </w:rPr>
        <w:t xml:space="preserve"> </w:t>
      </w:r>
      <w:r>
        <w:rPr>
          <w:rFonts w:hint="eastAsia"/>
          <w:rtl/>
        </w:rPr>
        <w:t>בעוצמתן</w:t>
      </w:r>
      <w:r>
        <w:rPr>
          <w:rtl/>
        </w:rPr>
        <w:t xml:space="preserve"> </w:t>
      </w:r>
      <w:r>
        <w:rPr>
          <w:rFonts w:hint="eastAsia"/>
          <w:rtl/>
        </w:rPr>
        <w:t>של</w:t>
      </w:r>
      <w:r>
        <w:rPr>
          <w:rtl/>
        </w:rPr>
        <w:t xml:space="preserve"> </w:t>
      </w:r>
      <w:r>
        <w:rPr>
          <w:rFonts w:hint="eastAsia"/>
          <w:rtl/>
        </w:rPr>
        <w:t>יתר</w:t>
      </w:r>
      <w:r>
        <w:rPr>
          <w:rtl/>
        </w:rPr>
        <w:t xml:space="preserve"> </w:t>
      </w:r>
      <w:r>
        <w:rPr>
          <w:rFonts w:hint="eastAsia"/>
          <w:rtl/>
        </w:rPr>
        <w:t>הראיות</w:t>
      </w:r>
      <w:r>
        <w:rPr>
          <w:rtl/>
        </w:rPr>
        <w:t xml:space="preserve"> </w:t>
      </w:r>
      <w:r>
        <w:rPr>
          <w:rFonts w:hint="eastAsia"/>
          <w:rtl/>
        </w:rPr>
        <w:t>המבססות</w:t>
      </w:r>
      <w:r>
        <w:rPr>
          <w:rtl/>
        </w:rPr>
        <w:t xml:space="preserve"> </w:t>
      </w:r>
      <w:r>
        <w:rPr>
          <w:rFonts w:hint="eastAsia"/>
          <w:rtl/>
        </w:rPr>
        <w:t>את</w:t>
      </w:r>
      <w:r>
        <w:rPr>
          <w:rtl/>
        </w:rPr>
        <w:t xml:space="preserve"> </w:t>
      </w:r>
      <w:r>
        <w:rPr>
          <w:rFonts w:hint="eastAsia"/>
          <w:rtl/>
        </w:rPr>
        <w:t>ההרשעה</w:t>
      </w:r>
      <w:r>
        <w:rPr>
          <w:rFonts w:hint="cs"/>
          <w:rtl/>
        </w:rPr>
        <w:t>" (ראו: פסקה 155 להחלטה בדבר המשפט החוזר).</w:t>
      </w:r>
    </w:p>
    <w:p w:rsidR="003C5F47" w:rsidRDefault="003C5F47" w:rsidP="003C5F47">
      <w:pPr>
        <w:pStyle w:val="Ruller41"/>
        <w:rPr>
          <w:rtl/>
        </w:rPr>
      </w:pPr>
    </w:p>
    <w:p w:rsidR="003C5F47" w:rsidRDefault="003C5F47" w:rsidP="003C5F47">
      <w:pPr>
        <w:pStyle w:val="Ruller41"/>
        <w:numPr>
          <w:ilvl w:val="0"/>
          <w:numId w:val="14"/>
        </w:numPr>
      </w:pPr>
      <w:r w:rsidRPr="00F1117B">
        <w:rPr>
          <w:rFonts w:ascii="Century" w:hAnsi="Century" w:cs="Miriam" w:hint="cs"/>
          <w:b/>
          <w:spacing w:val="0"/>
          <w:szCs w:val="24"/>
          <w:rtl/>
        </w:rPr>
        <w:t xml:space="preserve">כתם הדם של המנוחה שנמצא על מתקן התליה של נייר </w:t>
      </w:r>
      <w:r>
        <w:rPr>
          <w:rFonts w:ascii="Century" w:hAnsi="Century" w:cs="Miriam" w:hint="cs"/>
          <w:b/>
          <w:spacing w:val="0"/>
          <w:szCs w:val="24"/>
          <w:rtl/>
        </w:rPr>
        <w:t>ה</w:t>
      </w:r>
      <w:r w:rsidRPr="00F1117B">
        <w:rPr>
          <w:rFonts w:ascii="Century" w:hAnsi="Century" w:cs="Miriam" w:hint="cs"/>
          <w:b/>
          <w:spacing w:val="0"/>
          <w:szCs w:val="24"/>
          <w:rtl/>
        </w:rPr>
        <w:t>טואלט בתא השירותים</w:t>
      </w:r>
      <w:r>
        <w:rPr>
          <w:rFonts w:ascii="Century" w:hAnsi="Century" w:cs="Miriam" w:hint="cs"/>
          <w:b/>
          <w:spacing w:val="0"/>
          <w:szCs w:val="24"/>
          <w:rtl/>
        </w:rPr>
        <w:t xml:space="preserve"> </w:t>
      </w:r>
      <w:r w:rsidRPr="00F1117B">
        <w:rPr>
          <w:rFonts w:ascii="Century" w:hAnsi="Century" w:cs="Miriam" w:hint="cs"/>
          <w:b/>
          <w:spacing w:val="0"/>
          <w:szCs w:val="24"/>
          <w:rtl/>
        </w:rPr>
        <w:t>השלישי, בעוד שהמנוחה נרצחה בתא השני.</w:t>
      </w:r>
      <w:r>
        <w:rPr>
          <w:rFonts w:hint="cs"/>
          <w:rtl/>
        </w:rPr>
        <w:t xml:space="preserve"> בעניינה של ראיה זו, קבע המשנה לנשיאה </w:t>
      </w:r>
      <w:r w:rsidRPr="00864FC2">
        <w:rPr>
          <w:rFonts w:ascii="Century" w:hAnsi="Century" w:cs="Miriam" w:hint="cs"/>
          <w:b/>
          <w:spacing w:val="0"/>
          <w:szCs w:val="24"/>
          <w:rtl/>
        </w:rPr>
        <w:t>מלצר</w:t>
      </w:r>
      <w:r>
        <w:rPr>
          <w:rFonts w:ascii="Century" w:hAnsi="Century" w:hint="cs"/>
          <w:rtl/>
        </w:rPr>
        <w:t xml:space="preserve"> כדלקמן:</w:t>
      </w:r>
      <w:r>
        <w:rPr>
          <w:rFonts w:hint="cs"/>
          <w:rtl/>
        </w:rPr>
        <w:t xml:space="preserve"> </w:t>
      </w:r>
    </w:p>
    <w:p w:rsidR="003C5F47" w:rsidRDefault="003C5F47" w:rsidP="003C5F47">
      <w:pPr>
        <w:pStyle w:val="Ruller41"/>
        <w:rPr>
          <w:rtl/>
        </w:rPr>
      </w:pPr>
    </w:p>
    <w:p w:rsidR="003C5F47" w:rsidRDefault="003C5F47" w:rsidP="003C5F47">
      <w:pPr>
        <w:pStyle w:val="Ruller5"/>
        <w:rPr>
          <w:rtl/>
        </w:rPr>
      </w:pPr>
      <w:r>
        <w:rPr>
          <w:rFonts w:hint="cs"/>
          <w:rtl/>
        </w:rPr>
        <w:t>"</w:t>
      </w:r>
      <w:r>
        <w:rPr>
          <w:rFonts w:hint="eastAsia"/>
          <w:rtl/>
        </w:rPr>
        <w:t>הנה</w:t>
      </w:r>
      <w:r>
        <w:rPr>
          <w:rtl/>
        </w:rPr>
        <w:t xml:space="preserve"> </w:t>
      </w:r>
      <w:r>
        <w:rPr>
          <w:rFonts w:hint="eastAsia"/>
          <w:rtl/>
        </w:rPr>
        <w:t>כי</w:t>
      </w:r>
      <w:r>
        <w:rPr>
          <w:rtl/>
        </w:rPr>
        <w:t xml:space="preserve"> </w:t>
      </w:r>
      <w:r>
        <w:rPr>
          <w:rFonts w:hint="eastAsia"/>
          <w:rtl/>
        </w:rPr>
        <w:t>כן</w:t>
      </w:r>
      <w:r>
        <w:rPr>
          <w:rtl/>
        </w:rPr>
        <w:t xml:space="preserve">, </w:t>
      </w:r>
      <w:r>
        <w:rPr>
          <w:rFonts w:hint="eastAsia"/>
          <w:rtl/>
        </w:rPr>
        <w:t>להימצאות</w:t>
      </w:r>
      <w:r>
        <w:rPr>
          <w:rtl/>
        </w:rPr>
        <w:t xml:space="preserve"> </w:t>
      </w:r>
      <w:r>
        <w:rPr>
          <w:rFonts w:hint="eastAsia"/>
          <w:rtl/>
        </w:rPr>
        <w:t>דמה</w:t>
      </w:r>
      <w:r>
        <w:rPr>
          <w:rtl/>
        </w:rPr>
        <w:t xml:space="preserve"> </w:t>
      </w:r>
      <w:r>
        <w:rPr>
          <w:rFonts w:hint="eastAsia"/>
          <w:rtl/>
        </w:rPr>
        <w:t>של</w:t>
      </w:r>
      <w:r>
        <w:rPr>
          <w:rtl/>
        </w:rPr>
        <w:t xml:space="preserve"> </w:t>
      </w:r>
      <w:r>
        <w:rPr>
          <w:rFonts w:hint="eastAsia"/>
          <w:rtl/>
        </w:rPr>
        <w:t>המנוחה</w:t>
      </w:r>
      <w:r>
        <w:rPr>
          <w:rtl/>
        </w:rPr>
        <w:t xml:space="preserve"> </w:t>
      </w:r>
      <w:r>
        <w:rPr>
          <w:rFonts w:hint="eastAsia"/>
          <w:rtl/>
        </w:rPr>
        <w:t>בתא</w:t>
      </w:r>
      <w:r>
        <w:rPr>
          <w:rtl/>
        </w:rPr>
        <w:t xml:space="preserve"> </w:t>
      </w:r>
      <w:r>
        <w:rPr>
          <w:rFonts w:hint="eastAsia"/>
          <w:rtl/>
        </w:rPr>
        <w:t>השירותים</w:t>
      </w:r>
      <w:r>
        <w:rPr>
          <w:rtl/>
        </w:rPr>
        <w:t xml:space="preserve"> </w:t>
      </w:r>
      <w:r>
        <w:rPr>
          <w:rFonts w:hint="eastAsia"/>
          <w:rtl/>
        </w:rPr>
        <w:t>השלישי</w:t>
      </w:r>
      <w:r>
        <w:rPr>
          <w:rtl/>
        </w:rPr>
        <w:t xml:space="preserve"> (</w:t>
      </w:r>
      <w:r>
        <w:rPr>
          <w:rFonts w:hint="eastAsia"/>
          <w:rtl/>
        </w:rPr>
        <w:t>אשר</w:t>
      </w:r>
      <w:r>
        <w:rPr>
          <w:rtl/>
        </w:rPr>
        <w:t xml:space="preserve"> </w:t>
      </w:r>
      <w:r>
        <w:rPr>
          <w:rFonts w:hint="eastAsia"/>
          <w:rtl/>
        </w:rPr>
        <w:t>דומה</w:t>
      </w:r>
      <w:r>
        <w:rPr>
          <w:rtl/>
        </w:rPr>
        <w:t xml:space="preserve"> </w:t>
      </w:r>
      <w:r>
        <w:rPr>
          <w:rFonts w:hint="eastAsia"/>
          <w:rtl/>
        </w:rPr>
        <w:t>כי</w:t>
      </w:r>
      <w:r>
        <w:rPr>
          <w:rtl/>
        </w:rPr>
        <w:t xml:space="preserve"> </w:t>
      </w:r>
      <w:r>
        <w:rPr>
          <w:rFonts w:hint="eastAsia"/>
          <w:rtl/>
        </w:rPr>
        <w:t>אף</w:t>
      </w:r>
      <w:r>
        <w:rPr>
          <w:rtl/>
        </w:rPr>
        <w:t xml:space="preserve"> </w:t>
      </w:r>
      <w:r>
        <w:rPr>
          <w:rFonts w:hint="eastAsia"/>
          <w:rtl/>
        </w:rPr>
        <w:t>המשיבה</w:t>
      </w:r>
      <w:r>
        <w:rPr>
          <w:rtl/>
        </w:rPr>
        <w:t xml:space="preserve"> </w:t>
      </w:r>
      <w:r>
        <w:rPr>
          <w:rFonts w:hint="cs"/>
          <w:rtl/>
        </w:rPr>
        <w:t xml:space="preserve">[העוררת דכאן </w:t>
      </w:r>
      <w:r>
        <w:rPr>
          <w:rtl/>
        </w:rPr>
        <w:t>–</w:t>
      </w:r>
      <w:r>
        <w:rPr>
          <w:rFonts w:hint="cs"/>
          <w:rtl/>
        </w:rPr>
        <w:t xml:space="preserve"> א.ש.]</w:t>
      </w:r>
      <w:r>
        <w:rPr>
          <w:rtl/>
        </w:rPr>
        <w:t xml:space="preserve"> </w:t>
      </w:r>
      <w:r>
        <w:rPr>
          <w:rFonts w:hint="eastAsia"/>
          <w:rtl/>
        </w:rPr>
        <w:t>סבורה</w:t>
      </w:r>
      <w:r>
        <w:rPr>
          <w:rtl/>
        </w:rPr>
        <w:t xml:space="preserve"> </w:t>
      </w:r>
      <w:r>
        <w:rPr>
          <w:rFonts w:hint="eastAsia"/>
          <w:rtl/>
        </w:rPr>
        <w:t>כי</w:t>
      </w:r>
      <w:r>
        <w:rPr>
          <w:rtl/>
        </w:rPr>
        <w:t xml:space="preserve"> </w:t>
      </w:r>
      <w:r>
        <w:rPr>
          <w:rFonts w:hint="eastAsia"/>
          <w:rtl/>
        </w:rPr>
        <w:t>היא</w:t>
      </w:r>
      <w:r>
        <w:rPr>
          <w:rtl/>
        </w:rPr>
        <w:t xml:space="preserve"> </w:t>
      </w:r>
      <w:r>
        <w:rPr>
          <w:rFonts w:hint="eastAsia"/>
          <w:rtl/>
        </w:rPr>
        <w:t>בגדר</w:t>
      </w:r>
      <w:r>
        <w:rPr>
          <w:rtl/>
        </w:rPr>
        <w:t xml:space="preserve"> "</w:t>
      </w:r>
      <w:r>
        <w:rPr>
          <w:rFonts w:hint="eastAsia"/>
          <w:rtl/>
        </w:rPr>
        <w:t>ראיה</w:t>
      </w:r>
      <w:r>
        <w:rPr>
          <w:rtl/>
        </w:rPr>
        <w:t xml:space="preserve"> </w:t>
      </w:r>
      <w:r>
        <w:rPr>
          <w:rFonts w:hint="eastAsia"/>
          <w:rtl/>
        </w:rPr>
        <w:t>חדשה</w:t>
      </w:r>
      <w:r>
        <w:rPr>
          <w:rtl/>
        </w:rPr>
        <w:t xml:space="preserve">"), </w:t>
      </w:r>
      <w:r>
        <w:rPr>
          <w:rFonts w:hint="eastAsia"/>
          <w:rtl/>
        </w:rPr>
        <w:t>נודעת</w:t>
      </w:r>
      <w:r>
        <w:rPr>
          <w:rtl/>
        </w:rPr>
        <w:t xml:space="preserve"> </w:t>
      </w:r>
      <w:r>
        <w:rPr>
          <w:rFonts w:hint="eastAsia"/>
          <w:rtl/>
        </w:rPr>
        <w:t>חשיבות</w:t>
      </w:r>
      <w:r>
        <w:rPr>
          <w:rtl/>
        </w:rPr>
        <w:t xml:space="preserve"> </w:t>
      </w:r>
      <w:r>
        <w:rPr>
          <w:rFonts w:hint="eastAsia"/>
          <w:rtl/>
        </w:rPr>
        <w:t>מסוימת</w:t>
      </w:r>
      <w:r>
        <w:rPr>
          <w:rtl/>
        </w:rPr>
        <w:t xml:space="preserve">, </w:t>
      </w:r>
      <w:r>
        <w:rPr>
          <w:rFonts w:hint="eastAsia"/>
          <w:rtl/>
        </w:rPr>
        <w:t>שכן</w:t>
      </w:r>
      <w:r>
        <w:rPr>
          <w:rtl/>
        </w:rPr>
        <w:t xml:space="preserve"> </w:t>
      </w:r>
      <w:r>
        <w:rPr>
          <w:rFonts w:hint="eastAsia"/>
          <w:rtl/>
        </w:rPr>
        <w:t>היא</w:t>
      </w:r>
      <w:r>
        <w:rPr>
          <w:rtl/>
        </w:rPr>
        <w:t xml:space="preserve"> </w:t>
      </w:r>
      <w:r>
        <w:rPr>
          <w:rFonts w:hint="eastAsia"/>
          <w:rtl/>
        </w:rPr>
        <w:t>תומכת</w:t>
      </w:r>
      <w:r>
        <w:rPr>
          <w:rtl/>
        </w:rPr>
        <w:t xml:space="preserve"> </w:t>
      </w:r>
      <w:r>
        <w:rPr>
          <w:rFonts w:hint="eastAsia"/>
          <w:rtl/>
        </w:rPr>
        <w:t>בפרשנות</w:t>
      </w:r>
      <w:r>
        <w:rPr>
          <w:rtl/>
        </w:rPr>
        <w:t xml:space="preserve"> </w:t>
      </w:r>
      <w:r>
        <w:rPr>
          <w:rFonts w:hint="eastAsia"/>
          <w:rtl/>
        </w:rPr>
        <w:t>בדבר</w:t>
      </w:r>
      <w:r>
        <w:rPr>
          <w:rtl/>
        </w:rPr>
        <w:t xml:space="preserve"> </w:t>
      </w:r>
      <w:r>
        <w:rPr>
          <w:rFonts w:hint="eastAsia"/>
          <w:rtl/>
        </w:rPr>
        <w:t>נתיב</w:t>
      </w:r>
      <w:r>
        <w:rPr>
          <w:rtl/>
        </w:rPr>
        <w:t xml:space="preserve"> </w:t>
      </w:r>
      <w:r>
        <w:rPr>
          <w:rFonts w:hint="eastAsia"/>
          <w:rtl/>
        </w:rPr>
        <w:t>ההימלטות</w:t>
      </w:r>
      <w:r>
        <w:rPr>
          <w:rtl/>
        </w:rPr>
        <w:t xml:space="preserve"> </w:t>
      </w:r>
      <w:r>
        <w:rPr>
          <w:rFonts w:hint="eastAsia"/>
          <w:rtl/>
        </w:rPr>
        <w:t>של</w:t>
      </w:r>
      <w:r>
        <w:rPr>
          <w:rtl/>
        </w:rPr>
        <w:t xml:space="preserve"> </w:t>
      </w:r>
      <w:r>
        <w:rPr>
          <w:rFonts w:hint="eastAsia"/>
          <w:rtl/>
        </w:rPr>
        <w:t>הרוצח</w:t>
      </w:r>
      <w:r>
        <w:rPr>
          <w:rtl/>
        </w:rPr>
        <w:t xml:space="preserve">, </w:t>
      </w:r>
      <w:r>
        <w:rPr>
          <w:rFonts w:hint="eastAsia"/>
          <w:rtl/>
        </w:rPr>
        <w:t>באופן</w:t>
      </w:r>
      <w:r>
        <w:rPr>
          <w:rtl/>
        </w:rPr>
        <w:t xml:space="preserve"> </w:t>
      </w:r>
      <w:r>
        <w:rPr>
          <w:rFonts w:hint="eastAsia"/>
          <w:rtl/>
        </w:rPr>
        <w:t>המנוגד</w:t>
      </w:r>
      <w:r>
        <w:rPr>
          <w:rtl/>
        </w:rPr>
        <w:t xml:space="preserve"> </w:t>
      </w:r>
      <w:r>
        <w:rPr>
          <w:rFonts w:hint="eastAsia"/>
          <w:rtl/>
        </w:rPr>
        <w:t>לזה</w:t>
      </w:r>
      <w:r>
        <w:rPr>
          <w:rtl/>
        </w:rPr>
        <w:t xml:space="preserve"> </w:t>
      </w:r>
      <w:r>
        <w:rPr>
          <w:rFonts w:hint="eastAsia"/>
          <w:rtl/>
        </w:rPr>
        <w:t>שהציג</w:t>
      </w:r>
      <w:r>
        <w:rPr>
          <w:rtl/>
        </w:rPr>
        <w:t xml:space="preserve"> </w:t>
      </w:r>
      <w:r>
        <w:rPr>
          <w:rFonts w:hint="eastAsia"/>
          <w:rtl/>
        </w:rPr>
        <w:t>המבקש</w:t>
      </w:r>
      <w:r>
        <w:rPr>
          <w:rtl/>
        </w:rPr>
        <w:t xml:space="preserve"> </w:t>
      </w:r>
      <w:r>
        <w:rPr>
          <w:rFonts w:hint="eastAsia"/>
          <w:rtl/>
        </w:rPr>
        <w:t>במסגרת</w:t>
      </w:r>
      <w:r>
        <w:rPr>
          <w:rtl/>
        </w:rPr>
        <w:t xml:space="preserve"> </w:t>
      </w:r>
      <w:r>
        <w:rPr>
          <w:rFonts w:hint="eastAsia"/>
          <w:rtl/>
        </w:rPr>
        <w:t>השחזור</w:t>
      </w:r>
      <w:r>
        <w:rPr>
          <w:rtl/>
        </w:rPr>
        <w:t xml:space="preserve">. </w:t>
      </w:r>
      <w:r>
        <w:rPr>
          <w:rFonts w:hint="eastAsia"/>
          <w:rtl/>
        </w:rPr>
        <w:t>אכן</w:t>
      </w:r>
      <w:r>
        <w:rPr>
          <w:rtl/>
        </w:rPr>
        <w:t xml:space="preserve"> </w:t>
      </w:r>
      <w:r>
        <w:rPr>
          <w:rFonts w:hint="eastAsia"/>
          <w:rtl/>
        </w:rPr>
        <w:t>בניגוד</w:t>
      </w:r>
      <w:r>
        <w:rPr>
          <w:rtl/>
        </w:rPr>
        <w:t xml:space="preserve"> </w:t>
      </w:r>
      <w:r>
        <w:rPr>
          <w:rFonts w:hint="eastAsia"/>
          <w:rtl/>
        </w:rPr>
        <w:t>לאפשרות</w:t>
      </w:r>
      <w:r>
        <w:rPr>
          <w:rtl/>
        </w:rPr>
        <w:t xml:space="preserve"> </w:t>
      </w:r>
      <w:r>
        <w:rPr>
          <w:rFonts w:hint="eastAsia"/>
          <w:rtl/>
        </w:rPr>
        <w:t>הימצאות</w:t>
      </w:r>
      <w:r>
        <w:rPr>
          <w:rtl/>
        </w:rPr>
        <w:t xml:space="preserve"> </w:t>
      </w:r>
      <w:r>
        <w:rPr>
          <w:rFonts w:hint="eastAsia"/>
          <w:rtl/>
        </w:rPr>
        <w:t>דמה</w:t>
      </w:r>
      <w:r>
        <w:rPr>
          <w:rtl/>
        </w:rPr>
        <w:t xml:space="preserve"> </w:t>
      </w:r>
      <w:r>
        <w:rPr>
          <w:rFonts w:hint="eastAsia"/>
          <w:rtl/>
        </w:rPr>
        <w:t>של</w:t>
      </w:r>
      <w:r>
        <w:rPr>
          <w:rtl/>
        </w:rPr>
        <w:t xml:space="preserve"> </w:t>
      </w:r>
      <w:r>
        <w:rPr>
          <w:rFonts w:hint="eastAsia"/>
          <w:rtl/>
        </w:rPr>
        <w:t>המנוחה</w:t>
      </w:r>
      <w:r>
        <w:rPr>
          <w:rtl/>
        </w:rPr>
        <w:t xml:space="preserve"> </w:t>
      </w:r>
      <w:r>
        <w:rPr>
          <w:rFonts w:hint="eastAsia"/>
          <w:rtl/>
        </w:rPr>
        <w:t>בתא</w:t>
      </w:r>
      <w:r>
        <w:rPr>
          <w:rtl/>
        </w:rPr>
        <w:t xml:space="preserve"> </w:t>
      </w:r>
      <w:r>
        <w:rPr>
          <w:rFonts w:hint="eastAsia"/>
          <w:rtl/>
        </w:rPr>
        <w:t>השני</w:t>
      </w:r>
      <w:r>
        <w:rPr>
          <w:rtl/>
        </w:rPr>
        <w:t xml:space="preserve">, </w:t>
      </w:r>
      <w:r>
        <w:rPr>
          <w:rFonts w:hint="eastAsia"/>
          <w:rtl/>
        </w:rPr>
        <w:t>בו</w:t>
      </w:r>
      <w:r>
        <w:rPr>
          <w:rtl/>
        </w:rPr>
        <w:t xml:space="preserve"> </w:t>
      </w:r>
      <w:r>
        <w:rPr>
          <w:rFonts w:hint="eastAsia"/>
          <w:rtl/>
        </w:rPr>
        <w:t>בוצע</w:t>
      </w:r>
      <w:r>
        <w:rPr>
          <w:rtl/>
        </w:rPr>
        <w:t xml:space="preserve"> </w:t>
      </w:r>
      <w:r>
        <w:rPr>
          <w:rFonts w:hint="eastAsia"/>
          <w:rtl/>
        </w:rPr>
        <w:t>הרצח</w:t>
      </w:r>
      <w:r>
        <w:rPr>
          <w:rtl/>
        </w:rPr>
        <w:t xml:space="preserve"> </w:t>
      </w:r>
      <w:r>
        <w:rPr>
          <w:rFonts w:hint="cs"/>
          <w:rtl/>
        </w:rPr>
        <w:t xml:space="preserve">[...] </w:t>
      </w:r>
      <w:r>
        <w:rPr>
          <w:rFonts w:hint="eastAsia"/>
          <w:rtl/>
        </w:rPr>
        <w:t>הרי</w:t>
      </w:r>
      <w:r>
        <w:rPr>
          <w:rtl/>
        </w:rPr>
        <w:t xml:space="preserve"> </w:t>
      </w:r>
      <w:r>
        <w:rPr>
          <w:rFonts w:hint="eastAsia"/>
          <w:rtl/>
        </w:rPr>
        <w:t>שבראיה</w:t>
      </w:r>
      <w:r>
        <w:rPr>
          <w:rtl/>
        </w:rPr>
        <w:t xml:space="preserve"> </w:t>
      </w:r>
      <w:r>
        <w:rPr>
          <w:rFonts w:hint="eastAsia"/>
          <w:rtl/>
        </w:rPr>
        <w:t>זו</w:t>
      </w:r>
      <w:r>
        <w:rPr>
          <w:rtl/>
        </w:rPr>
        <w:t xml:space="preserve"> </w:t>
      </w:r>
      <w:r>
        <w:rPr>
          <w:rFonts w:hint="cs"/>
          <w:rtl/>
        </w:rPr>
        <w:t>[...]</w:t>
      </w:r>
      <w:r>
        <w:rPr>
          <w:rtl/>
        </w:rPr>
        <w:t xml:space="preserve"> </w:t>
      </w:r>
      <w:r>
        <w:rPr>
          <w:rFonts w:hint="eastAsia"/>
          <w:rtl/>
        </w:rPr>
        <w:t>יש</w:t>
      </w:r>
      <w:r>
        <w:rPr>
          <w:rtl/>
        </w:rPr>
        <w:t xml:space="preserve"> </w:t>
      </w:r>
      <w:r>
        <w:rPr>
          <w:rFonts w:hint="eastAsia"/>
          <w:rtl/>
        </w:rPr>
        <w:t>פוטנציאל</w:t>
      </w:r>
      <w:r>
        <w:rPr>
          <w:rtl/>
        </w:rPr>
        <w:t xml:space="preserve"> </w:t>
      </w:r>
      <w:r>
        <w:rPr>
          <w:rFonts w:hint="eastAsia"/>
          <w:rtl/>
        </w:rPr>
        <w:t>להחליש</w:t>
      </w:r>
      <w:r>
        <w:rPr>
          <w:rtl/>
        </w:rPr>
        <w:t xml:space="preserve"> </w:t>
      </w:r>
      <w:r>
        <w:rPr>
          <w:rFonts w:hint="eastAsia"/>
          <w:rtl/>
        </w:rPr>
        <w:t>את</w:t>
      </w:r>
      <w:r>
        <w:rPr>
          <w:rtl/>
        </w:rPr>
        <w:t xml:space="preserve"> </w:t>
      </w:r>
      <w:proofErr w:type="spellStart"/>
      <w:r>
        <w:rPr>
          <w:rFonts w:hint="eastAsia"/>
          <w:rtl/>
        </w:rPr>
        <w:t>גירסת</w:t>
      </w:r>
      <w:proofErr w:type="spellEnd"/>
      <w:r>
        <w:rPr>
          <w:rtl/>
        </w:rPr>
        <w:t xml:space="preserve"> </w:t>
      </w:r>
      <w:r>
        <w:rPr>
          <w:rFonts w:hint="eastAsia"/>
          <w:rtl/>
        </w:rPr>
        <w:t>המשיבה</w:t>
      </w:r>
      <w:r>
        <w:rPr>
          <w:rtl/>
        </w:rPr>
        <w:t xml:space="preserve"> </w:t>
      </w:r>
      <w:r>
        <w:rPr>
          <w:rFonts w:hint="eastAsia"/>
          <w:rtl/>
        </w:rPr>
        <w:t>באשר</w:t>
      </w:r>
      <w:r>
        <w:rPr>
          <w:rtl/>
        </w:rPr>
        <w:t xml:space="preserve"> </w:t>
      </w:r>
      <w:r>
        <w:rPr>
          <w:rFonts w:hint="eastAsia"/>
          <w:rtl/>
        </w:rPr>
        <w:t>לדרך</w:t>
      </w:r>
      <w:r>
        <w:rPr>
          <w:rtl/>
        </w:rPr>
        <w:t xml:space="preserve"> </w:t>
      </w:r>
      <w:r>
        <w:rPr>
          <w:rFonts w:hint="eastAsia"/>
          <w:rtl/>
        </w:rPr>
        <w:t>שבה</w:t>
      </w:r>
      <w:r>
        <w:rPr>
          <w:rtl/>
        </w:rPr>
        <w:t xml:space="preserve"> </w:t>
      </w:r>
      <w:r>
        <w:rPr>
          <w:rFonts w:hint="eastAsia"/>
          <w:rtl/>
        </w:rPr>
        <w:t>נוצר</w:t>
      </w:r>
      <w:r>
        <w:rPr>
          <w:rtl/>
        </w:rPr>
        <w:t xml:space="preserve"> </w:t>
      </w:r>
      <w:r>
        <w:rPr>
          <w:rFonts w:hint="eastAsia"/>
          <w:rtl/>
        </w:rPr>
        <w:t>כתם</w:t>
      </w:r>
      <w:r>
        <w:rPr>
          <w:rtl/>
        </w:rPr>
        <w:t xml:space="preserve"> </w:t>
      </w:r>
      <w:r>
        <w:rPr>
          <w:rFonts w:hint="eastAsia"/>
          <w:rtl/>
        </w:rPr>
        <w:t>הדם</w:t>
      </w:r>
      <w:r>
        <w:rPr>
          <w:rtl/>
        </w:rPr>
        <w:t xml:space="preserve"> </w:t>
      </w:r>
      <w:r>
        <w:rPr>
          <w:rFonts w:hint="eastAsia"/>
          <w:rtl/>
        </w:rPr>
        <w:t>הנ</w:t>
      </w:r>
      <w:r>
        <w:rPr>
          <w:rtl/>
        </w:rPr>
        <w:t>"</w:t>
      </w:r>
      <w:r>
        <w:rPr>
          <w:rFonts w:hint="eastAsia"/>
          <w:rtl/>
        </w:rPr>
        <w:t>ל</w:t>
      </w:r>
      <w:r>
        <w:rPr>
          <w:rtl/>
        </w:rPr>
        <w:t xml:space="preserve">. </w:t>
      </w:r>
      <w:r>
        <w:rPr>
          <w:rFonts w:hint="eastAsia"/>
          <w:rtl/>
        </w:rPr>
        <w:t>גישת</w:t>
      </w:r>
      <w:r>
        <w:rPr>
          <w:rtl/>
        </w:rPr>
        <w:t xml:space="preserve"> </w:t>
      </w:r>
      <w:r>
        <w:rPr>
          <w:rFonts w:hint="eastAsia"/>
          <w:rtl/>
        </w:rPr>
        <w:t>המבקש</w:t>
      </w:r>
      <w:r>
        <w:rPr>
          <w:rtl/>
        </w:rPr>
        <w:t xml:space="preserve">, </w:t>
      </w:r>
      <w:r>
        <w:rPr>
          <w:rFonts w:hint="eastAsia"/>
          <w:rtl/>
        </w:rPr>
        <w:t>לפיה</w:t>
      </w:r>
      <w:r>
        <w:rPr>
          <w:rtl/>
        </w:rPr>
        <w:t xml:space="preserve"> </w:t>
      </w:r>
      <w:r>
        <w:rPr>
          <w:rFonts w:hint="eastAsia"/>
          <w:rtl/>
        </w:rPr>
        <w:t>ישנה</w:t>
      </w:r>
      <w:r>
        <w:rPr>
          <w:rtl/>
        </w:rPr>
        <w:t xml:space="preserve"> </w:t>
      </w:r>
      <w:r>
        <w:rPr>
          <w:rFonts w:hint="eastAsia"/>
          <w:rtl/>
        </w:rPr>
        <w:t>זהות</w:t>
      </w:r>
      <w:r>
        <w:rPr>
          <w:rtl/>
        </w:rPr>
        <w:t xml:space="preserve"> </w:t>
      </w:r>
      <w:r>
        <w:rPr>
          <w:rFonts w:hint="eastAsia"/>
          <w:rtl/>
        </w:rPr>
        <w:t>בין</w:t>
      </w:r>
      <w:r>
        <w:rPr>
          <w:rtl/>
        </w:rPr>
        <w:t xml:space="preserve"> </w:t>
      </w:r>
      <w:r>
        <w:rPr>
          <w:rFonts w:hint="eastAsia"/>
          <w:rtl/>
        </w:rPr>
        <w:t>מטביע</w:t>
      </w:r>
      <w:r>
        <w:rPr>
          <w:rtl/>
        </w:rPr>
        <w:t xml:space="preserve"> </w:t>
      </w:r>
      <w:r>
        <w:rPr>
          <w:rFonts w:hint="eastAsia"/>
          <w:rtl/>
        </w:rPr>
        <w:t>העקבות</w:t>
      </w:r>
      <w:r>
        <w:rPr>
          <w:rtl/>
        </w:rPr>
        <w:t xml:space="preserve"> </w:t>
      </w:r>
      <w:r>
        <w:rPr>
          <w:rFonts w:hint="eastAsia"/>
          <w:rtl/>
        </w:rPr>
        <w:t>הזרות</w:t>
      </w:r>
      <w:r>
        <w:rPr>
          <w:rtl/>
        </w:rPr>
        <w:t xml:space="preserve"> (</w:t>
      </w:r>
      <w:r>
        <w:rPr>
          <w:rFonts w:hint="eastAsia"/>
          <w:rtl/>
        </w:rPr>
        <w:t>שהוסכם</w:t>
      </w:r>
      <w:r>
        <w:rPr>
          <w:rtl/>
        </w:rPr>
        <w:t xml:space="preserve">, </w:t>
      </w:r>
      <w:r>
        <w:rPr>
          <w:rFonts w:hint="eastAsia"/>
          <w:rtl/>
        </w:rPr>
        <w:t>כאמור</w:t>
      </w:r>
      <w:r>
        <w:rPr>
          <w:rtl/>
        </w:rPr>
        <w:t xml:space="preserve">, </w:t>
      </w:r>
      <w:r>
        <w:rPr>
          <w:rFonts w:hint="eastAsia"/>
          <w:rtl/>
        </w:rPr>
        <w:t>כי</w:t>
      </w:r>
      <w:r>
        <w:rPr>
          <w:rtl/>
        </w:rPr>
        <w:t xml:space="preserve"> </w:t>
      </w:r>
      <w:r>
        <w:rPr>
          <w:rFonts w:hint="eastAsia"/>
          <w:rtl/>
        </w:rPr>
        <w:t>אין</w:t>
      </w:r>
      <w:r>
        <w:rPr>
          <w:rtl/>
        </w:rPr>
        <w:t xml:space="preserve"> </w:t>
      </w:r>
      <w:r>
        <w:rPr>
          <w:rFonts w:hint="eastAsia"/>
          <w:rtl/>
        </w:rPr>
        <w:t>זה</w:t>
      </w:r>
      <w:r>
        <w:rPr>
          <w:rtl/>
        </w:rPr>
        <w:t xml:space="preserve"> </w:t>
      </w:r>
      <w:r>
        <w:rPr>
          <w:rFonts w:hint="eastAsia"/>
          <w:rtl/>
        </w:rPr>
        <w:t>המבקש</w:t>
      </w:r>
      <w:r>
        <w:rPr>
          <w:rtl/>
        </w:rPr>
        <w:t xml:space="preserve">), </w:t>
      </w:r>
      <w:r>
        <w:rPr>
          <w:rFonts w:hint="eastAsia"/>
          <w:rtl/>
        </w:rPr>
        <w:t>לבין</w:t>
      </w:r>
      <w:r>
        <w:rPr>
          <w:rtl/>
        </w:rPr>
        <w:t xml:space="preserve"> </w:t>
      </w:r>
      <w:r>
        <w:rPr>
          <w:rFonts w:hint="eastAsia"/>
          <w:rtl/>
        </w:rPr>
        <w:t>מי</w:t>
      </w:r>
      <w:r>
        <w:rPr>
          <w:rtl/>
        </w:rPr>
        <w:t xml:space="preserve"> </w:t>
      </w:r>
      <w:r>
        <w:rPr>
          <w:rFonts w:hint="eastAsia"/>
          <w:rtl/>
        </w:rPr>
        <w:t>שהשאיר</w:t>
      </w:r>
      <w:r>
        <w:rPr>
          <w:rtl/>
        </w:rPr>
        <w:t xml:space="preserve"> </w:t>
      </w:r>
      <w:r>
        <w:rPr>
          <w:rFonts w:hint="eastAsia"/>
          <w:rtl/>
        </w:rPr>
        <w:t>את</w:t>
      </w:r>
      <w:r>
        <w:rPr>
          <w:rtl/>
        </w:rPr>
        <w:t xml:space="preserve"> </w:t>
      </w:r>
      <w:r>
        <w:rPr>
          <w:rFonts w:hint="eastAsia"/>
          <w:rtl/>
        </w:rPr>
        <w:t>הכתם</w:t>
      </w:r>
      <w:r>
        <w:rPr>
          <w:rtl/>
        </w:rPr>
        <w:t xml:space="preserve"> </w:t>
      </w:r>
      <w:r>
        <w:rPr>
          <w:rFonts w:hint="eastAsia"/>
          <w:rtl/>
        </w:rPr>
        <w:t>על</w:t>
      </w:r>
      <w:r>
        <w:rPr>
          <w:rtl/>
        </w:rPr>
        <w:t xml:space="preserve"> </w:t>
      </w:r>
      <w:r>
        <w:rPr>
          <w:rFonts w:hint="eastAsia"/>
          <w:rtl/>
        </w:rPr>
        <w:t>מתקן</w:t>
      </w:r>
      <w:r>
        <w:rPr>
          <w:rtl/>
        </w:rPr>
        <w:t xml:space="preserve"> </w:t>
      </w:r>
      <w:r>
        <w:rPr>
          <w:rFonts w:hint="eastAsia"/>
          <w:rtl/>
        </w:rPr>
        <w:t>נייר</w:t>
      </w:r>
      <w:r>
        <w:rPr>
          <w:rtl/>
        </w:rPr>
        <w:t xml:space="preserve"> </w:t>
      </w:r>
      <w:r>
        <w:rPr>
          <w:rFonts w:hint="eastAsia"/>
          <w:rtl/>
        </w:rPr>
        <w:t>הטואלט</w:t>
      </w:r>
      <w:r>
        <w:rPr>
          <w:rtl/>
        </w:rPr>
        <w:t xml:space="preserve">, </w:t>
      </w:r>
      <w:r>
        <w:rPr>
          <w:rFonts w:hint="eastAsia"/>
          <w:rtl/>
        </w:rPr>
        <w:t>איננה</w:t>
      </w:r>
      <w:r>
        <w:rPr>
          <w:rtl/>
        </w:rPr>
        <w:t xml:space="preserve"> </w:t>
      </w:r>
      <w:r>
        <w:rPr>
          <w:rFonts w:hint="eastAsia"/>
          <w:rtl/>
        </w:rPr>
        <w:t>נעדרת</w:t>
      </w:r>
      <w:r>
        <w:rPr>
          <w:rtl/>
        </w:rPr>
        <w:t xml:space="preserve"> </w:t>
      </w:r>
      <w:r>
        <w:rPr>
          <w:rFonts w:hint="eastAsia"/>
          <w:rtl/>
        </w:rPr>
        <w:t>לפיכך</w:t>
      </w:r>
      <w:r>
        <w:rPr>
          <w:rtl/>
        </w:rPr>
        <w:t xml:space="preserve"> </w:t>
      </w:r>
      <w:r>
        <w:rPr>
          <w:rFonts w:hint="eastAsia"/>
          <w:rtl/>
        </w:rPr>
        <w:t>בסיס</w:t>
      </w:r>
      <w:r>
        <w:rPr>
          <w:rFonts w:hint="cs"/>
          <w:rtl/>
        </w:rPr>
        <w:t xml:space="preserve">, </w:t>
      </w:r>
      <w:r>
        <w:rPr>
          <w:rFonts w:hint="eastAsia"/>
          <w:rtl/>
        </w:rPr>
        <w:t>ועשויה</w:t>
      </w:r>
      <w:r>
        <w:rPr>
          <w:rtl/>
        </w:rPr>
        <w:t xml:space="preserve"> </w:t>
      </w:r>
      <w:r>
        <w:rPr>
          <w:rFonts w:hint="eastAsia"/>
          <w:rtl/>
        </w:rPr>
        <w:t>לחזק</w:t>
      </w:r>
      <w:r>
        <w:rPr>
          <w:rtl/>
        </w:rPr>
        <w:t xml:space="preserve"> </w:t>
      </w:r>
      <w:r>
        <w:rPr>
          <w:rFonts w:hint="eastAsia"/>
          <w:rtl/>
        </w:rPr>
        <w:t>דווקא</w:t>
      </w:r>
      <w:r>
        <w:rPr>
          <w:rtl/>
        </w:rPr>
        <w:t xml:space="preserve"> </w:t>
      </w:r>
      <w:r>
        <w:rPr>
          <w:rFonts w:hint="eastAsia"/>
          <w:rtl/>
        </w:rPr>
        <w:t>את</w:t>
      </w:r>
      <w:r>
        <w:rPr>
          <w:rtl/>
        </w:rPr>
        <w:t xml:space="preserve"> </w:t>
      </w:r>
      <w:r>
        <w:rPr>
          <w:rFonts w:hint="eastAsia"/>
          <w:rtl/>
        </w:rPr>
        <w:t>התיזה</w:t>
      </w:r>
      <w:r>
        <w:rPr>
          <w:rtl/>
        </w:rPr>
        <w:t xml:space="preserve"> </w:t>
      </w:r>
      <w:r>
        <w:rPr>
          <w:rFonts w:hint="eastAsia"/>
          <w:rtl/>
        </w:rPr>
        <w:t>לפיה</w:t>
      </w:r>
      <w:r>
        <w:rPr>
          <w:rtl/>
        </w:rPr>
        <w:t xml:space="preserve"> </w:t>
      </w:r>
      <w:r>
        <w:rPr>
          <w:rFonts w:hint="eastAsia"/>
          <w:rtl/>
        </w:rPr>
        <w:t>מסלול</w:t>
      </w:r>
      <w:r>
        <w:rPr>
          <w:rtl/>
        </w:rPr>
        <w:t xml:space="preserve"> </w:t>
      </w:r>
      <w:r>
        <w:rPr>
          <w:rFonts w:hint="eastAsia"/>
          <w:rtl/>
        </w:rPr>
        <w:t>ההימלטות</w:t>
      </w:r>
      <w:r>
        <w:rPr>
          <w:rtl/>
        </w:rPr>
        <w:t xml:space="preserve"> </w:t>
      </w:r>
      <w:r>
        <w:rPr>
          <w:rFonts w:hint="eastAsia"/>
          <w:rtl/>
        </w:rPr>
        <w:t>של</w:t>
      </w:r>
      <w:r>
        <w:rPr>
          <w:rtl/>
        </w:rPr>
        <w:t xml:space="preserve"> </w:t>
      </w:r>
      <w:r>
        <w:rPr>
          <w:rFonts w:hint="eastAsia"/>
          <w:rtl/>
        </w:rPr>
        <w:t>הרוצח</w:t>
      </w:r>
      <w:r>
        <w:rPr>
          <w:rtl/>
        </w:rPr>
        <w:t xml:space="preserve"> </w:t>
      </w:r>
      <w:r>
        <w:rPr>
          <w:rFonts w:hint="eastAsia"/>
          <w:rtl/>
        </w:rPr>
        <w:t>היה</w:t>
      </w:r>
      <w:r>
        <w:rPr>
          <w:rtl/>
        </w:rPr>
        <w:t xml:space="preserve"> </w:t>
      </w:r>
      <w:r>
        <w:rPr>
          <w:rFonts w:hint="eastAsia"/>
          <w:rtl/>
        </w:rPr>
        <w:t>דרך</w:t>
      </w:r>
      <w:r>
        <w:rPr>
          <w:rtl/>
        </w:rPr>
        <w:t xml:space="preserve"> </w:t>
      </w:r>
      <w:r>
        <w:rPr>
          <w:rFonts w:hint="eastAsia"/>
          <w:rtl/>
        </w:rPr>
        <w:t>מעבר</w:t>
      </w:r>
      <w:r>
        <w:rPr>
          <w:rtl/>
        </w:rPr>
        <w:t xml:space="preserve"> </w:t>
      </w:r>
      <w:r>
        <w:rPr>
          <w:rFonts w:hint="eastAsia"/>
          <w:rtl/>
        </w:rPr>
        <w:t>מהתא</w:t>
      </w:r>
      <w:r>
        <w:rPr>
          <w:rtl/>
        </w:rPr>
        <w:t xml:space="preserve"> </w:t>
      </w:r>
      <w:r>
        <w:rPr>
          <w:rFonts w:hint="eastAsia"/>
          <w:rtl/>
        </w:rPr>
        <w:t>השני</w:t>
      </w:r>
      <w:r>
        <w:rPr>
          <w:rtl/>
        </w:rPr>
        <w:t xml:space="preserve"> </w:t>
      </w:r>
      <w:r>
        <w:rPr>
          <w:rFonts w:hint="eastAsia"/>
          <w:rtl/>
        </w:rPr>
        <w:t>לתא</w:t>
      </w:r>
      <w:r>
        <w:rPr>
          <w:rtl/>
        </w:rPr>
        <w:t xml:space="preserve"> </w:t>
      </w:r>
      <w:r>
        <w:rPr>
          <w:rFonts w:hint="eastAsia"/>
          <w:rtl/>
        </w:rPr>
        <w:t>השלישי</w:t>
      </w:r>
      <w:r>
        <w:rPr>
          <w:rFonts w:hint="cs"/>
          <w:rtl/>
        </w:rPr>
        <w:t>"</w:t>
      </w:r>
      <w:r>
        <w:rPr>
          <w:rtl/>
        </w:rPr>
        <w:t xml:space="preserve"> </w:t>
      </w:r>
      <w:r>
        <w:rPr>
          <w:rFonts w:hint="cs"/>
          <w:rtl/>
        </w:rPr>
        <w:t>(ראו: פסקה 162 להחלטה בדבר המשפט החוזר).</w:t>
      </w:r>
    </w:p>
    <w:p w:rsidR="003C5F47" w:rsidRDefault="003C5F47" w:rsidP="003C5F47">
      <w:pPr>
        <w:pStyle w:val="Ruller5"/>
        <w:rPr>
          <w:rtl/>
        </w:rPr>
      </w:pPr>
    </w:p>
    <w:p w:rsidR="003C5F47" w:rsidRDefault="003C5F47" w:rsidP="003C5F47">
      <w:pPr>
        <w:pStyle w:val="Ruller41"/>
        <w:numPr>
          <w:ilvl w:val="0"/>
          <w:numId w:val="14"/>
        </w:numPr>
      </w:pPr>
      <w:r>
        <w:rPr>
          <w:rFonts w:hint="cs"/>
          <w:rtl/>
        </w:rPr>
        <w:t xml:space="preserve">על יסוד שיקולים אלה, ולאחר שקילת מארג הראיות בשלמותו, סיכם המשנה לנשיאה </w:t>
      </w:r>
      <w:r w:rsidRPr="003E337E">
        <w:rPr>
          <w:rFonts w:ascii="Century" w:hAnsi="Century" w:cs="Miriam" w:hint="cs"/>
          <w:b/>
          <w:spacing w:val="0"/>
          <w:szCs w:val="24"/>
          <w:rtl/>
        </w:rPr>
        <w:t>מלצר</w:t>
      </w:r>
      <w:r>
        <w:rPr>
          <w:rFonts w:hint="cs"/>
          <w:rtl/>
        </w:rPr>
        <w:t xml:space="preserve"> וקבע כדלקמן:</w:t>
      </w:r>
    </w:p>
    <w:p w:rsidR="003C5F47" w:rsidRDefault="003C5F47" w:rsidP="003C5F47">
      <w:pPr>
        <w:pStyle w:val="Ruller41"/>
        <w:ind w:left="720"/>
        <w:rPr>
          <w:rtl/>
        </w:rPr>
      </w:pPr>
    </w:p>
    <w:p w:rsidR="003C5F47" w:rsidRDefault="003C5F47" w:rsidP="003C5F47">
      <w:pPr>
        <w:pStyle w:val="Ruller5"/>
        <w:rPr>
          <w:rtl/>
        </w:rPr>
      </w:pPr>
      <w:r>
        <w:rPr>
          <w:rFonts w:hint="cs"/>
          <w:rtl/>
        </w:rPr>
        <w:t>"</w:t>
      </w:r>
      <w:r w:rsidRPr="00975C49">
        <w:rPr>
          <w:rFonts w:hint="eastAsia"/>
          <w:rtl/>
        </w:rPr>
        <w:t>התוצאה</w:t>
      </w:r>
      <w:r w:rsidRPr="00975C49">
        <w:rPr>
          <w:rtl/>
        </w:rPr>
        <w:t xml:space="preserve"> </w:t>
      </w:r>
      <w:r w:rsidRPr="00975C49">
        <w:rPr>
          <w:rFonts w:hint="eastAsia"/>
          <w:rtl/>
        </w:rPr>
        <w:t>אליה</w:t>
      </w:r>
      <w:r w:rsidRPr="00975C49">
        <w:rPr>
          <w:rtl/>
        </w:rPr>
        <w:t xml:space="preserve"> </w:t>
      </w:r>
      <w:r w:rsidRPr="00975C49">
        <w:rPr>
          <w:rFonts w:hint="eastAsia"/>
          <w:rtl/>
        </w:rPr>
        <w:t>הגעתי</w:t>
      </w:r>
      <w:r w:rsidRPr="00975C49">
        <w:rPr>
          <w:rtl/>
        </w:rPr>
        <w:t xml:space="preserve"> </w:t>
      </w:r>
      <w:r w:rsidRPr="00975C49">
        <w:rPr>
          <w:rFonts w:hint="eastAsia"/>
          <w:rtl/>
        </w:rPr>
        <w:t>בדבר</w:t>
      </w:r>
      <w:r w:rsidRPr="00975C49">
        <w:rPr>
          <w:rtl/>
        </w:rPr>
        <w:t xml:space="preserve"> </w:t>
      </w:r>
      <w:r w:rsidRPr="00975C49">
        <w:rPr>
          <w:rFonts w:hint="eastAsia"/>
          <w:rtl/>
        </w:rPr>
        <w:t>עריכת</w:t>
      </w:r>
      <w:r w:rsidRPr="00975C49">
        <w:rPr>
          <w:rtl/>
        </w:rPr>
        <w:t xml:space="preserve"> </w:t>
      </w:r>
      <w:r w:rsidRPr="00975C49">
        <w:rPr>
          <w:rFonts w:hint="eastAsia"/>
          <w:rtl/>
        </w:rPr>
        <w:t>משפט</w:t>
      </w:r>
      <w:r w:rsidRPr="00975C49">
        <w:rPr>
          <w:rtl/>
        </w:rPr>
        <w:t xml:space="preserve"> </w:t>
      </w:r>
      <w:r w:rsidRPr="00975C49">
        <w:rPr>
          <w:rFonts w:hint="eastAsia"/>
          <w:rtl/>
        </w:rPr>
        <w:t>חוזר</w:t>
      </w:r>
      <w:r w:rsidRPr="00975C49">
        <w:rPr>
          <w:rtl/>
        </w:rPr>
        <w:t xml:space="preserve"> </w:t>
      </w:r>
      <w:r w:rsidRPr="00975C49">
        <w:rPr>
          <w:rFonts w:hint="eastAsia"/>
          <w:rtl/>
        </w:rPr>
        <w:t>בעניינו</w:t>
      </w:r>
      <w:r w:rsidRPr="00975C49">
        <w:rPr>
          <w:rtl/>
        </w:rPr>
        <w:t xml:space="preserve"> </w:t>
      </w:r>
      <w:r w:rsidRPr="00975C49">
        <w:rPr>
          <w:rFonts w:hint="eastAsia"/>
          <w:rtl/>
        </w:rPr>
        <w:t>של</w:t>
      </w:r>
      <w:r w:rsidRPr="00975C49">
        <w:rPr>
          <w:rtl/>
        </w:rPr>
        <w:t xml:space="preserve"> </w:t>
      </w:r>
      <w:r w:rsidRPr="00975C49">
        <w:rPr>
          <w:rFonts w:hint="eastAsia"/>
          <w:rtl/>
        </w:rPr>
        <w:t>המבקש</w:t>
      </w:r>
      <w:r w:rsidRPr="00975C49">
        <w:rPr>
          <w:rtl/>
        </w:rPr>
        <w:t xml:space="preserve"> – </w:t>
      </w:r>
      <w:r w:rsidRPr="00975C49">
        <w:rPr>
          <w:rFonts w:hint="eastAsia"/>
          <w:rtl/>
        </w:rPr>
        <w:t>איננה</w:t>
      </w:r>
      <w:r w:rsidRPr="00975C49">
        <w:rPr>
          <w:rtl/>
        </w:rPr>
        <w:t xml:space="preserve"> </w:t>
      </w:r>
      <w:r w:rsidRPr="00975C49">
        <w:rPr>
          <w:rFonts w:hint="eastAsia"/>
          <w:rtl/>
        </w:rPr>
        <w:t>משמיעה</w:t>
      </w:r>
      <w:r w:rsidRPr="00975C49">
        <w:rPr>
          <w:rtl/>
        </w:rPr>
        <w:t xml:space="preserve"> </w:t>
      </w:r>
      <w:r w:rsidRPr="00975C49">
        <w:rPr>
          <w:rFonts w:hint="eastAsia"/>
          <w:rtl/>
        </w:rPr>
        <w:t>בהכרח</w:t>
      </w:r>
      <w:r w:rsidRPr="00975C49">
        <w:rPr>
          <w:rtl/>
        </w:rPr>
        <w:t xml:space="preserve"> </w:t>
      </w:r>
      <w:r w:rsidRPr="00975C49">
        <w:rPr>
          <w:rFonts w:hint="eastAsia"/>
          <w:rtl/>
        </w:rPr>
        <w:t>כי</w:t>
      </w:r>
      <w:r w:rsidRPr="00975C49">
        <w:rPr>
          <w:rtl/>
        </w:rPr>
        <w:t xml:space="preserve"> </w:t>
      </w:r>
      <w:r w:rsidRPr="00975C49">
        <w:rPr>
          <w:rFonts w:hint="eastAsia"/>
          <w:rtl/>
        </w:rPr>
        <w:t>המבקש</w:t>
      </w:r>
      <w:r w:rsidRPr="00975C49">
        <w:rPr>
          <w:rtl/>
        </w:rPr>
        <w:t xml:space="preserve"> </w:t>
      </w:r>
      <w:r w:rsidRPr="00975C49">
        <w:rPr>
          <w:rFonts w:hint="eastAsia"/>
          <w:rtl/>
        </w:rPr>
        <w:t>זכאי</w:t>
      </w:r>
      <w:r w:rsidRPr="00975C49">
        <w:rPr>
          <w:rtl/>
        </w:rPr>
        <w:t xml:space="preserve">, </w:t>
      </w:r>
      <w:r w:rsidRPr="00975C49">
        <w:rPr>
          <w:rFonts w:hint="eastAsia"/>
          <w:rtl/>
        </w:rPr>
        <w:t>או</w:t>
      </w:r>
      <w:r w:rsidRPr="00975C49">
        <w:rPr>
          <w:rtl/>
        </w:rPr>
        <w:t xml:space="preserve"> </w:t>
      </w:r>
      <w:r w:rsidRPr="00975C49">
        <w:rPr>
          <w:rFonts w:hint="eastAsia"/>
          <w:rtl/>
        </w:rPr>
        <w:t>כי</w:t>
      </w:r>
      <w:r w:rsidRPr="00975C49">
        <w:rPr>
          <w:rtl/>
        </w:rPr>
        <w:t xml:space="preserve"> </w:t>
      </w:r>
      <w:r w:rsidRPr="00975C49">
        <w:rPr>
          <w:rFonts w:hint="eastAsia"/>
          <w:rtl/>
        </w:rPr>
        <w:t>עלה</w:t>
      </w:r>
      <w:r w:rsidRPr="00975C49">
        <w:rPr>
          <w:rtl/>
        </w:rPr>
        <w:t xml:space="preserve"> </w:t>
      </w:r>
      <w:r w:rsidRPr="00975C49">
        <w:rPr>
          <w:rFonts w:hint="eastAsia"/>
          <w:rtl/>
        </w:rPr>
        <w:t>בידו</w:t>
      </w:r>
      <w:r w:rsidRPr="00975C49">
        <w:rPr>
          <w:rtl/>
        </w:rPr>
        <w:t xml:space="preserve"> </w:t>
      </w:r>
      <w:r w:rsidRPr="00975C49">
        <w:rPr>
          <w:rFonts w:hint="eastAsia"/>
          <w:rtl/>
        </w:rPr>
        <w:t>להוכיח</w:t>
      </w:r>
      <w:r w:rsidRPr="00975C49">
        <w:rPr>
          <w:rtl/>
        </w:rPr>
        <w:t xml:space="preserve"> </w:t>
      </w:r>
      <w:r w:rsidRPr="00975C49">
        <w:rPr>
          <w:rFonts w:hint="eastAsia"/>
          <w:rtl/>
        </w:rPr>
        <w:t>קיומו</w:t>
      </w:r>
      <w:r w:rsidRPr="00975C49">
        <w:rPr>
          <w:rtl/>
        </w:rPr>
        <w:t xml:space="preserve"> </w:t>
      </w:r>
      <w:r w:rsidRPr="00975C49">
        <w:rPr>
          <w:rFonts w:hint="eastAsia"/>
          <w:rtl/>
        </w:rPr>
        <w:t>של</w:t>
      </w:r>
      <w:r w:rsidRPr="00975C49">
        <w:rPr>
          <w:rtl/>
        </w:rPr>
        <w:t xml:space="preserve"> </w:t>
      </w:r>
      <w:r w:rsidRPr="00975C49">
        <w:rPr>
          <w:rFonts w:hint="eastAsia"/>
          <w:rtl/>
        </w:rPr>
        <w:t>ספק</w:t>
      </w:r>
      <w:r w:rsidRPr="00975C49">
        <w:rPr>
          <w:rtl/>
        </w:rPr>
        <w:t xml:space="preserve"> </w:t>
      </w:r>
      <w:r w:rsidRPr="00975C49">
        <w:rPr>
          <w:rFonts w:hint="eastAsia"/>
          <w:rtl/>
        </w:rPr>
        <w:t>סביר</w:t>
      </w:r>
      <w:r w:rsidRPr="00975C49">
        <w:rPr>
          <w:rtl/>
        </w:rPr>
        <w:t xml:space="preserve"> </w:t>
      </w:r>
      <w:r w:rsidRPr="00975C49">
        <w:rPr>
          <w:rFonts w:hint="eastAsia"/>
          <w:rtl/>
        </w:rPr>
        <w:t>באשמתו</w:t>
      </w:r>
      <w:r w:rsidRPr="00975C49">
        <w:rPr>
          <w:rtl/>
        </w:rPr>
        <w:t xml:space="preserve">. </w:t>
      </w:r>
      <w:r w:rsidRPr="00975C49">
        <w:rPr>
          <w:rFonts w:hint="eastAsia"/>
          <w:rtl/>
        </w:rPr>
        <w:t>שאלות</w:t>
      </w:r>
      <w:r w:rsidRPr="00975C49">
        <w:rPr>
          <w:rtl/>
        </w:rPr>
        <w:t xml:space="preserve"> </w:t>
      </w:r>
      <w:r w:rsidRPr="00975C49">
        <w:rPr>
          <w:rFonts w:hint="eastAsia"/>
          <w:rtl/>
        </w:rPr>
        <w:t>אלו</w:t>
      </w:r>
      <w:r w:rsidRPr="00975C49">
        <w:rPr>
          <w:rtl/>
        </w:rPr>
        <w:t xml:space="preserve"> </w:t>
      </w:r>
      <w:r w:rsidRPr="00975C49">
        <w:rPr>
          <w:rFonts w:hint="eastAsia"/>
          <w:rtl/>
        </w:rPr>
        <w:t>אמורות</w:t>
      </w:r>
      <w:r w:rsidRPr="00975C49">
        <w:rPr>
          <w:rtl/>
        </w:rPr>
        <w:t xml:space="preserve"> </w:t>
      </w:r>
      <w:r w:rsidRPr="00975C49">
        <w:rPr>
          <w:rFonts w:hint="eastAsia"/>
          <w:rtl/>
        </w:rPr>
        <w:t>להיבחן</w:t>
      </w:r>
      <w:r w:rsidRPr="00975C49">
        <w:rPr>
          <w:rtl/>
        </w:rPr>
        <w:t xml:space="preserve"> </w:t>
      </w:r>
      <w:r w:rsidRPr="00975C49">
        <w:rPr>
          <w:rFonts w:hint="eastAsia"/>
          <w:rtl/>
        </w:rPr>
        <w:t>במשפט</w:t>
      </w:r>
      <w:r w:rsidRPr="00975C49">
        <w:rPr>
          <w:rtl/>
        </w:rPr>
        <w:t xml:space="preserve"> </w:t>
      </w:r>
      <w:r w:rsidRPr="00975C49">
        <w:rPr>
          <w:rFonts w:hint="eastAsia"/>
          <w:rtl/>
        </w:rPr>
        <w:t>החוזר</w:t>
      </w:r>
      <w:r w:rsidRPr="00975C49">
        <w:rPr>
          <w:rtl/>
        </w:rPr>
        <w:t xml:space="preserve"> </w:t>
      </w:r>
      <w:r w:rsidRPr="00975C49">
        <w:rPr>
          <w:rFonts w:hint="eastAsia"/>
          <w:rtl/>
        </w:rPr>
        <w:t>עצמו</w:t>
      </w:r>
      <w:r w:rsidRPr="00975C49">
        <w:rPr>
          <w:rtl/>
        </w:rPr>
        <w:t xml:space="preserve">. </w:t>
      </w:r>
      <w:r w:rsidRPr="00975C49">
        <w:rPr>
          <w:rFonts w:hint="eastAsia"/>
          <w:rtl/>
        </w:rPr>
        <w:t>מטרתו</w:t>
      </w:r>
      <w:r w:rsidRPr="00975C49">
        <w:rPr>
          <w:rtl/>
        </w:rPr>
        <w:t xml:space="preserve"> </w:t>
      </w:r>
      <w:r w:rsidRPr="00975C49">
        <w:rPr>
          <w:rFonts w:hint="eastAsia"/>
          <w:rtl/>
        </w:rPr>
        <w:t>של</w:t>
      </w:r>
      <w:r w:rsidRPr="00975C49">
        <w:rPr>
          <w:rtl/>
        </w:rPr>
        <w:t xml:space="preserve"> </w:t>
      </w:r>
      <w:r w:rsidRPr="00975C49">
        <w:rPr>
          <w:rFonts w:hint="eastAsia"/>
          <w:rtl/>
        </w:rPr>
        <w:t>ההליך</w:t>
      </w:r>
      <w:r w:rsidRPr="00975C49">
        <w:rPr>
          <w:rtl/>
        </w:rPr>
        <w:t xml:space="preserve"> </w:t>
      </w:r>
      <w:r w:rsidRPr="00975C49">
        <w:rPr>
          <w:rFonts w:hint="eastAsia"/>
          <w:rtl/>
        </w:rPr>
        <w:t>שבפני</w:t>
      </w:r>
      <w:r w:rsidRPr="00975C49">
        <w:rPr>
          <w:rtl/>
        </w:rPr>
        <w:t xml:space="preserve"> </w:t>
      </w:r>
      <w:r w:rsidRPr="00975C49">
        <w:rPr>
          <w:rFonts w:hint="eastAsia"/>
          <w:rtl/>
        </w:rPr>
        <w:t>כאן</w:t>
      </w:r>
      <w:r w:rsidRPr="00975C49">
        <w:rPr>
          <w:rtl/>
        </w:rPr>
        <w:t xml:space="preserve"> </w:t>
      </w:r>
      <w:proofErr w:type="spellStart"/>
      <w:r w:rsidRPr="00975C49">
        <w:rPr>
          <w:rFonts w:hint="eastAsia"/>
          <w:rtl/>
        </w:rPr>
        <w:t>היתה</w:t>
      </w:r>
      <w:proofErr w:type="spellEnd"/>
      <w:r w:rsidRPr="00975C49">
        <w:rPr>
          <w:rtl/>
        </w:rPr>
        <w:t xml:space="preserve"> </w:t>
      </w:r>
      <w:r w:rsidRPr="00975C49">
        <w:rPr>
          <w:rFonts w:hint="eastAsia"/>
          <w:rtl/>
        </w:rPr>
        <w:t>רק</w:t>
      </w:r>
      <w:r w:rsidRPr="00975C49">
        <w:rPr>
          <w:rtl/>
        </w:rPr>
        <w:t xml:space="preserve"> </w:t>
      </w:r>
      <w:r w:rsidRPr="00975C49">
        <w:rPr>
          <w:rFonts w:hint="eastAsia"/>
          <w:rtl/>
        </w:rPr>
        <w:t>לבחון</w:t>
      </w:r>
      <w:r w:rsidRPr="00975C49">
        <w:rPr>
          <w:rtl/>
        </w:rPr>
        <w:t xml:space="preserve"> </w:t>
      </w:r>
      <w:r w:rsidRPr="00975C49">
        <w:rPr>
          <w:rFonts w:hint="eastAsia"/>
          <w:rtl/>
        </w:rPr>
        <w:t>היתכנות</w:t>
      </w:r>
      <w:r w:rsidRPr="00975C49">
        <w:rPr>
          <w:rtl/>
        </w:rPr>
        <w:t xml:space="preserve"> </w:t>
      </w:r>
      <w:r w:rsidRPr="00975C49">
        <w:rPr>
          <w:rFonts w:hint="eastAsia"/>
          <w:rtl/>
        </w:rPr>
        <w:t>לאפשרות</w:t>
      </w:r>
      <w:r w:rsidRPr="00975C49">
        <w:rPr>
          <w:rtl/>
        </w:rPr>
        <w:t xml:space="preserve"> </w:t>
      </w:r>
      <w:r w:rsidRPr="00975C49">
        <w:rPr>
          <w:rFonts w:hint="eastAsia"/>
          <w:rtl/>
        </w:rPr>
        <w:t>כי</w:t>
      </w:r>
      <w:r w:rsidRPr="00975C49">
        <w:rPr>
          <w:rtl/>
        </w:rPr>
        <w:t xml:space="preserve"> </w:t>
      </w:r>
      <w:r w:rsidRPr="00975C49">
        <w:rPr>
          <w:rFonts w:hint="eastAsia"/>
          <w:rtl/>
        </w:rPr>
        <w:t>יש</w:t>
      </w:r>
      <w:r w:rsidRPr="00975C49">
        <w:rPr>
          <w:rtl/>
        </w:rPr>
        <w:t xml:space="preserve"> </w:t>
      </w:r>
      <w:r w:rsidRPr="00975C49">
        <w:rPr>
          <w:rFonts w:hint="eastAsia"/>
          <w:rtl/>
        </w:rPr>
        <w:t>בראיה</w:t>
      </w:r>
      <w:r w:rsidRPr="00975C49">
        <w:rPr>
          <w:rtl/>
        </w:rPr>
        <w:t xml:space="preserve">, </w:t>
      </w:r>
      <w:r w:rsidRPr="00975C49">
        <w:rPr>
          <w:rFonts w:hint="eastAsia"/>
          <w:rtl/>
        </w:rPr>
        <w:t>או</w:t>
      </w:r>
      <w:r w:rsidRPr="00975C49">
        <w:rPr>
          <w:rtl/>
        </w:rPr>
        <w:t xml:space="preserve"> </w:t>
      </w:r>
      <w:r w:rsidRPr="00975C49">
        <w:rPr>
          <w:rFonts w:hint="eastAsia"/>
          <w:rtl/>
        </w:rPr>
        <w:t>בטיעון</w:t>
      </w:r>
      <w:r w:rsidRPr="00975C49">
        <w:rPr>
          <w:rtl/>
        </w:rPr>
        <w:t xml:space="preserve"> </w:t>
      </w:r>
      <w:r w:rsidRPr="00975C49">
        <w:rPr>
          <w:rFonts w:hint="eastAsia"/>
          <w:rtl/>
        </w:rPr>
        <w:t>כלשהו</w:t>
      </w:r>
      <w:r w:rsidRPr="00975C49">
        <w:rPr>
          <w:rtl/>
        </w:rPr>
        <w:t xml:space="preserve"> </w:t>
      </w:r>
      <w:r w:rsidRPr="00975C49">
        <w:rPr>
          <w:rFonts w:hint="eastAsia"/>
          <w:rtl/>
        </w:rPr>
        <w:t>שהוצגו</w:t>
      </w:r>
      <w:r w:rsidRPr="00975C49">
        <w:rPr>
          <w:rtl/>
        </w:rPr>
        <w:t xml:space="preserve"> </w:t>
      </w:r>
      <w:r w:rsidRPr="00975C49">
        <w:rPr>
          <w:rFonts w:hint="eastAsia"/>
          <w:rtl/>
        </w:rPr>
        <w:t>בבקשה</w:t>
      </w:r>
      <w:r w:rsidRPr="00975C49">
        <w:rPr>
          <w:rtl/>
        </w:rPr>
        <w:t xml:space="preserve"> – </w:t>
      </w:r>
      <w:r w:rsidRPr="00975C49">
        <w:rPr>
          <w:rFonts w:hint="eastAsia"/>
          <w:rtl/>
        </w:rPr>
        <w:t>כדי</w:t>
      </w:r>
      <w:r w:rsidRPr="00975C49">
        <w:rPr>
          <w:rtl/>
        </w:rPr>
        <w:t xml:space="preserve"> </w:t>
      </w:r>
      <w:r w:rsidRPr="00975C49">
        <w:rPr>
          <w:rFonts w:hint="eastAsia"/>
          <w:rtl/>
        </w:rPr>
        <w:lastRenderedPageBreak/>
        <w:t>לשנות</w:t>
      </w:r>
      <w:r w:rsidRPr="00975C49">
        <w:rPr>
          <w:rtl/>
        </w:rPr>
        <w:t xml:space="preserve"> </w:t>
      </w:r>
      <w:r w:rsidRPr="00975C49">
        <w:rPr>
          <w:rFonts w:hint="eastAsia"/>
          <w:rtl/>
        </w:rPr>
        <w:t>את</w:t>
      </w:r>
      <w:r w:rsidRPr="00975C49">
        <w:rPr>
          <w:rtl/>
        </w:rPr>
        <w:t xml:space="preserve"> </w:t>
      </w:r>
      <w:r w:rsidRPr="00975C49">
        <w:rPr>
          <w:rFonts w:hint="eastAsia"/>
          <w:rtl/>
        </w:rPr>
        <w:t>תוצאות</w:t>
      </w:r>
      <w:r w:rsidRPr="00975C49">
        <w:rPr>
          <w:rtl/>
        </w:rPr>
        <w:t xml:space="preserve"> </w:t>
      </w:r>
      <w:r w:rsidRPr="00975C49">
        <w:rPr>
          <w:rFonts w:hint="eastAsia"/>
          <w:rtl/>
        </w:rPr>
        <w:t>המשפט</w:t>
      </w:r>
      <w:r w:rsidRPr="00975C49">
        <w:rPr>
          <w:rtl/>
        </w:rPr>
        <w:t xml:space="preserve">, </w:t>
      </w:r>
      <w:r w:rsidRPr="00975C49">
        <w:rPr>
          <w:rFonts w:hint="eastAsia"/>
          <w:rtl/>
        </w:rPr>
        <w:t>ובכך</w:t>
      </w:r>
      <w:r w:rsidRPr="00975C49">
        <w:rPr>
          <w:rtl/>
        </w:rPr>
        <w:t xml:space="preserve"> </w:t>
      </w:r>
      <w:r w:rsidRPr="00975C49">
        <w:rPr>
          <w:rFonts w:hint="eastAsia"/>
          <w:rtl/>
        </w:rPr>
        <w:t>עמד</w:t>
      </w:r>
      <w:r w:rsidRPr="00975C49">
        <w:rPr>
          <w:rtl/>
        </w:rPr>
        <w:t xml:space="preserve"> </w:t>
      </w:r>
      <w:r w:rsidRPr="00975C49">
        <w:rPr>
          <w:rFonts w:hint="eastAsia"/>
          <w:rtl/>
        </w:rPr>
        <w:t>המבקש</w:t>
      </w:r>
      <w:r>
        <w:rPr>
          <w:rFonts w:hint="cs"/>
          <w:rtl/>
        </w:rPr>
        <w:t>" (ראו: פסקה 195 להחלטה בדבר המשפט החוזר).</w:t>
      </w:r>
    </w:p>
    <w:p w:rsidR="003C5F47" w:rsidRDefault="003C5F47" w:rsidP="003C5F47">
      <w:pPr>
        <w:pStyle w:val="Ruller5"/>
      </w:pPr>
    </w:p>
    <w:p w:rsidR="003C5F47" w:rsidRPr="00422B35" w:rsidRDefault="003C5F47" w:rsidP="003C5F47">
      <w:pPr>
        <w:pStyle w:val="Ruller41"/>
        <w:rPr>
          <w:rFonts w:ascii="Century" w:hAnsi="Century" w:cs="Miriam"/>
          <w:b/>
          <w:spacing w:val="0"/>
          <w:szCs w:val="24"/>
          <w:rtl/>
        </w:rPr>
      </w:pPr>
      <w:r>
        <w:rPr>
          <w:rFonts w:ascii="Century" w:hAnsi="Century" w:cs="Miriam" w:hint="cs"/>
          <w:b/>
          <w:spacing w:val="0"/>
          <w:szCs w:val="24"/>
          <w:rtl/>
        </w:rPr>
        <w:t>ההחלטה קמא</w:t>
      </w:r>
    </w:p>
    <w:p w:rsidR="003C5F47" w:rsidRPr="00422B35" w:rsidRDefault="003C5F47" w:rsidP="003C5F47">
      <w:pPr>
        <w:pStyle w:val="Ruller41"/>
      </w:pPr>
    </w:p>
    <w:p w:rsidR="003C5F47" w:rsidRDefault="003C5F47" w:rsidP="003C5F47">
      <w:pPr>
        <w:pStyle w:val="Ruller4"/>
        <w:rPr>
          <w:rtl/>
        </w:rPr>
      </w:pPr>
      <w:r>
        <w:rPr>
          <w:rFonts w:hint="cs"/>
          <w:rtl/>
        </w:rPr>
        <w:t>בית משפט קמא ראה בעצם ההחלטה בדבר המשפט החוזר כרסום בראיות אשר עומדות לחובת המשיב במצב הדברים הנוכחי (</w:t>
      </w:r>
      <w:r w:rsidRPr="006A6CF7">
        <w:rPr>
          <w:rFonts w:hint="eastAsia"/>
          <w:rtl/>
        </w:rPr>
        <w:t>ראו</w:t>
      </w:r>
      <w:r w:rsidRPr="006A6CF7">
        <w:rPr>
          <w:rtl/>
        </w:rPr>
        <w:t xml:space="preserve">: </w:t>
      </w:r>
      <w:r w:rsidRPr="006A6CF7">
        <w:rPr>
          <w:rFonts w:hint="eastAsia"/>
          <w:rtl/>
        </w:rPr>
        <w:t>פסק</w:t>
      </w:r>
      <w:r>
        <w:rPr>
          <w:rFonts w:hint="cs"/>
          <w:rtl/>
        </w:rPr>
        <w:t>ה</w:t>
      </w:r>
      <w:r w:rsidRPr="006A6CF7">
        <w:rPr>
          <w:rtl/>
        </w:rPr>
        <w:t xml:space="preserve"> </w:t>
      </w:r>
      <w:r>
        <w:rPr>
          <w:rFonts w:hint="cs"/>
          <w:rtl/>
        </w:rPr>
        <w:t xml:space="preserve">21 </w:t>
      </w:r>
      <w:r w:rsidRPr="006A6CF7">
        <w:rPr>
          <w:rFonts w:hint="eastAsia"/>
          <w:rtl/>
        </w:rPr>
        <w:t>להחלט</w:t>
      </w:r>
      <w:r>
        <w:rPr>
          <w:rFonts w:hint="cs"/>
          <w:rtl/>
        </w:rPr>
        <w:t>תו של בית המשפט המחוזי מיום 3.8.2021)</w:t>
      </w:r>
      <w:r w:rsidRPr="006A6CF7">
        <w:rPr>
          <w:rtl/>
        </w:rPr>
        <w:t>.</w:t>
      </w:r>
    </w:p>
    <w:p w:rsidR="003C5F47" w:rsidRPr="006675C0" w:rsidRDefault="003C5F47" w:rsidP="003C5F47">
      <w:pPr>
        <w:pStyle w:val="Ruller41"/>
      </w:pPr>
    </w:p>
    <w:p w:rsidR="003C5F47" w:rsidRDefault="003C5F47" w:rsidP="003C5F47">
      <w:pPr>
        <w:pStyle w:val="Ruller4"/>
      </w:pPr>
      <w:r>
        <w:rPr>
          <w:rFonts w:hint="cs"/>
          <w:rtl/>
        </w:rPr>
        <w:t xml:space="preserve">באשר לעילת המעצר, בית המשפט קבע את הדברים הבאים, בהתבססו על ההחלטה שניתנה על ידי בית משפט זה (השופטת </w:t>
      </w:r>
      <w:r w:rsidRPr="006675C0">
        <w:rPr>
          <w:rFonts w:ascii="Century" w:hAnsi="Century" w:cs="Miriam" w:hint="cs"/>
          <w:b/>
          <w:spacing w:val="0"/>
          <w:sz w:val="22"/>
          <w:szCs w:val="24"/>
          <w:rtl/>
        </w:rPr>
        <w:t xml:space="preserve">ד' </w:t>
      </w:r>
      <w:proofErr w:type="spellStart"/>
      <w:r w:rsidRPr="006675C0">
        <w:rPr>
          <w:rFonts w:ascii="Century" w:hAnsi="Century" w:cs="Miriam" w:hint="cs"/>
          <w:b/>
          <w:spacing w:val="0"/>
          <w:sz w:val="22"/>
          <w:szCs w:val="24"/>
          <w:rtl/>
        </w:rPr>
        <w:t>דורנר</w:t>
      </w:r>
      <w:proofErr w:type="spellEnd"/>
      <w:r>
        <w:rPr>
          <w:rFonts w:hint="cs"/>
          <w:rtl/>
        </w:rPr>
        <w:t xml:space="preserve">) בעניין </w:t>
      </w:r>
      <w:proofErr w:type="spellStart"/>
      <w:r w:rsidRPr="006675C0">
        <w:rPr>
          <w:rFonts w:ascii="Century" w:hAnsi="Century" w:cs="Miriam" w:hint="cs"/>
          <w:b/>
          <w:spacing w:val="0"/>
          <w:sz w:val="22"/>
          <w:szCs w:val="24"/>
          <w:rtl/>
        </w:rPr>
        <w:t>קוזלי</w:t>
      </w:r>
      <w:proofErr w:type="spellEnd"/>
      <w:r>
        <w:rPr>
          <w:rFonts w:hint="cs"/>
          <w:rtl/>
        </w:rPr>
        <w:t xml:space="preserve"> (ראו: </w:t>
      </w:r>
      <w:proofErr w:type="spellStart"/>
      <w:r>
        <w:rPr>
          <w:rFonts w:hint="cs"/>
          <w:rtl/>
        </w:rPr>
        <w:t>בש"פ</w:t>
      </w:r>
      <w:proofErr w:type="spellEnd"/>
      <w:r>
        <w:rPr>
          <w:rFonts w:hint="cs"/>
          <w:rtl/>
        </w:rPr>
        <w:t xml:space="preserve"> 2074/99 </w:t>
      </w:r>
      <w:proofErr w:type="spellStart"/>
      <w:r w:rsidRPr="008779A2">
        <w:rPr>
          <w:rFonts w:ascii="Century" w:hAnsi="Century" w:cs="Miriam" w:hint="cs"/>
          <w:b/>
          <w:spacing w:val="0"/>
          <w:sz w:val="22"/>
          <w:szCs w:val="24"/>
          <w:rtl/>
        </w:rPr>
        <w:t>קוזלי</w:t>
      </w:r>
      <w:proofErr w:type="spellEnd"/>
      <w:r w:rsidRPr="008779A2">
        <w:rPr>
          <w:rFonts w:ascii="Century" w:hAnsi="Century" w:cs="Miriam" w:hint="cs"/>
          <w:b/>
          <w:spacing w:val="0"/>
          <w:sz w:val="22"/>
          <w:szCs w:val="24"/>
          <w:rtl/>
        </w:rPr>
        <w:t xml:space="preserve"> נ' מדינת ישראל</w:t>
      </w:r>
      <w:r>
        <w:rPr>
          <w:rFonts w:hint="cs"/>
          <w:rtl/>
        </w:rPr>
        <w:t xml:space="preserve">, פ"ד </w:t>
      </w:r>
      <w:proofErr w:type="spellStart"/>
      <w:r>
        <w:rPr>
          <w:rFonts w:hint="cs"/>
          <w:rtl/>
        </w:rPr>
        <w:t>נג</w:t>
      </w:r>
      <w:proofErr w:type="spellEnd"/>
      <w:r>
        <w:rPr>
          <w:rFonts w:hint="cs"/>
          <w:rtl/>
        </w:rPr>
        <w:t>(2) 553, 564-560 (1999)):</w:t>
      </w:r>
    </w:p>
    <w:p w:rsidR="003C5F47" w:rsidRDefault="003C5F47" w:rsidP="003C5F47">
      <w:pPr>
        <w:pStyle w:val="Ruller4"/>
        <w:numPr>
          <w:ilvl w:val="0"/>
          <w:numId w:val="0"/>
        </w:numPr>
        <w:rPr>
          <w:rtl/>
        </w:rPr>
      </w:pPr>
    </w:p>
    <w:p w:rsidR="003C5F47" w:rsidRDefault="003C5F47" w:rsidP="003C5F47">
      <w:pPr>
        <w:pStyle w:val="Ruller5"/>
        <w:rPr>
          <w:rtl/>
        </w:rPr>
      </w:pPr>
      <w:r>
        <w:rPr>
          <w:rFonts w:hint="cs"/>
          <w:rtl/>
        </w:rPr>
        <w:t>"אכן, נקודת</w:t>
      </w:r>
      <w:r>
        <w:t xml:space="preserve"> </w:t>
      </w:r>
      <w:r>
        <w:rPr>
          <w:rFonts w:hint="cs"/>
          <w:rtl/>
        </w:rPr>
        <w:t>המוצא</w:t>
      </w:r>
      <w:r>
        <w:t xml:space="preserve"> </w:t>
      </w:r>
      <w:r>
        <w:rPr>
          <w:rFonts w:hint="cs"/>
          <w:rtl/>
        </w:rPr>
        <w:t>היא</w:t>
      </w:r>
      <w:r>
        <w:t xml:space="preserve"> </w:t>
      </w:r>
      <w:r>
        <w:rPr>
          <w:rFonts w:hint="cs"/>
          <w:rtl/>
        </w:rPr>
        <w:t>שנשקפת</w:t>
      </w:r>
      <w:r>
        <w:t xml:space="preserve"> </w:t>
      </w:r>
      <w:r>
        <w:rPr>
          <w:rFonts w:hint="cs"/>
          <w:rtl/>
        </w:rPr>
        <w:t>מסוכנות</w:t>
      </w:r>
      <w:r>
        <w:t xml:space="preserve"> </w:t>
      </w:r>
      <w:r>
        <w:rPr>
          <w:rFonts w:hint="cs"/>
          <w:rtl/>
        </w:rPr>
        <w:t>גבוהה</w:t>
      </w:r>
      <w:r>
        <w:t xml:space="preserve"> </w:t>
      </w:r>
      <w:r>
        <w:rPr>
          <w:rFonts w:hint="cs"/>
          <w:rtl/>
        </w:rPr>
        <w:t>ממי</w:t>
      </w:r>
      <w:r>
        <w:t xml:space="preserve"> </w:t>
      </w:r>
      <w:r>
        <w:rPr>
          <w:rFonts w:hint="cs"/>
          <w:rtl/>
        </w:rPr>
        <w:t>שמואשם</w:t>
      </w:r>
      <w:r>
        <w:t xml:space="preserve"> </w:t>
      </w:r>
      <w:r>
        <w:rPr>
          <w:rFonts w:hint="cs"/>
          <w:rtl/>
        </w:rPr>
        <w:t>ברצח</w:t>
      </w:r>
      <w:r>
        <w:t xml:space="preserve"> </w:t>
      </w:r>
      <w:r>
        <w:rPr>
          <w:rFonts w:hint="cs"/>
          <w:rtl/>
        </w:rPr>
        <w:t>וקיימות</w:t>
      </w:r>
      <w:r>
        <w:t xml:space="preserve"> </w:t>
      </w:r>
      <w:r>
        <w:rPr>
          <w:rFonts w:hint="cs"/>
          <w:rtl/>
        </w:rPr>
        <w:t>נגדו</w:t>
      </w:r>
      <w:r>
        <w:t xml:space="preserve"> </w:t>
      </w:r>
      <w:r>
        <w:rPr>
          <w:rFonts w:hint="cs"/>
          <w:rtl/>
        </w:rPr>
        <w:t>ראיות</w:t>
      </w:r>
      <w:r>
        <w:t xml:space="preserve"> </w:t>
      </w:r>
      <w:r>
        <w:rPr>
          <w:rFonts w:hint="cs"/>
          <w:rtl/>
        </w:rPr>
        <w:t>לכאורה. ברם,</w:t>
      </w:r>
      <w:r>
        <w:t xml:space="preserve"> </w:t>
      </w:r>
      <w:r>
        <w:rPr>
          <w:rFonts w:hint="cs"/>
          <w:rtl/>
        </w:rPr>
        <w:t>עניינו</w:t>
      </w:r>
      <w:r>
        <w:t xml:space="preserve"> </w:t>
      </w:r>
      <w:r>
        <w:rPr>
          <w:rFonts w:hint="cs"/>
          <w:rtl/>
        </w:rPr>
        <w:t>של</w:t>
      </w:r>
      <w:r>
        <w:t xml:space="preserve"> </w:t>
      </w:r>
      <w:r>
        <w:rPr>
          <w:rFonts w:hint="cs"/>
          <w:rtl/>
        </w:rPr>
        <w:t>מי</w:t>
      </w:r>
      <w:r>
        <w:t xml:space="preserve"> </w:t>
      </w:r>
      <w:r>
        <w:rPr>
          <w:rFonts w:hint="cs"/>
          <w:rtl/>
        </w:rPr>
        <w:t>שיושב</w:t>
      </w:r>
      <w:r>
        <w:t xml:space="preserve"> </w:t>
      </w:r>
      <w:r>
        <w:rPr>
          <w:rFonts w:hint="cs"/>
          <w:rtl/>
        </w:rPr>
        <w:t>בכלא</w:t>
      </w:r>
      <w:r>
        <w:t xml:space="preserve"> </w:t>
      </w:r>
      <w:r>
        <w:rPr>
          <w:rFonts w:hint="cs"/>
          <w:rtl/>
        </w:rPr>
        <w:t>במשך 15 שנים</w:t>
      </w:r>
      <w:r>
        <w:t xml:space="preserve"> </w:t>
      </w:r>
      <w:r>
        <w:rPr>
          <w:rFonts w:hint="cs"/>
          <w:rtl/>
        </w:rPr>
        <w:t>והוחלט</w:t>
      </w:r>
      <w:r>
        <w:t xml:space="preserve"> </w:t>
      </w:r>
      <w:r>
        <w:rPr>
          <w:rFonts w:hint="cs"/>
          <w:rtl/>
        </w:rPr>
        <w:t>לקיים</w:t>
      </w:r>
      <w:r>
        <w:t xml:space="preserve"> </w:t>
      </w:r>
      <w:r>
        <w:rPr>
          <w:rFonts w:hint="cs"/>
          <w:rtl/>
        </w:rPr>
        <w:t>בעניינו</w:t>
      </w:r>
      <w:r>
        <w:t xml:space="preserve"> </w:t>
      </w:r>
      <w:r>
        <w:rPr>
          <w:rFonts w:hint="cs"/>
          <w:rtl/>
        </w:rPr>
        <w:t>משפט</w:t>
      </w:r>
      <w:r>
        <w:t xml:space="preserve"> </w:t>
      </w:r>
      <w:r>
        <w:rPr>
          <w:rFonts w:hint="cs"/>
          <w:rtl/>
        </w:rPr>
        <w:t>חוזר</w:t>
      </w:r>
      <w:r>
        <w:t xml:space="preserve"> </w:t>
      </w:r>
      <w:r>
        <w:rPr>
          <w:rFonts w:hint="cs"/>
          <w:rtl/>
        </w:rPr>
        <w:t>אינו</w:t>
      </w:r>
      <w:r>
        <w:t xml:space="preserve"> </w:t>
      </w:r>
      <w:r>
        <w:rPr>
          <w:rFonts w:hint="cs"/>
          <w:rtl/>
        </w:rPr>
        <w:t>כעניינו</w:t>
      </w:r>
      <w:r>
        <w:t xml:space="preserve"> </w:t>
      </w:r>
      <w:r>
        <w:rPr>
          <w:rFonts w:hint="cs"/>
          <w:rtl/>
        </w:rPr>
        <w:t>של</w:t>
      </w:r>
      <w:r>
        <w:t xml:space="preserve"> </w:t>
      </w:r>
      <w:r>
        <w:rPr>
          <w:rFonts w:hint="cs"/>
          <w:rtl/>
        </w:rPr>
        <w:t>מי</w:t>
      </w:r>
      <w:r>
        <w:t xml:space="preserve"> </w:t>
      </w:r>
      <w:r>
        <w:rPr>
          <w:rFonts w:hint="cs"/>
          <w:rtl/>
        </w:rPr>
        <w:t>שמוגש</w:t>
      </w:r>
      <w:r>
        <w:t xml:space="preserve"> </w:t>
      </w:r>
      <w:r>
        <w:rPr>
          <w:rFonts w:hint="cs"/>
          <w:rtl/>
        </w:rPr>
        <w:t>נגדו</w:t>
      </w:r>
      <w:r>
        <w:t xml:space="preserve"> </w:t>
      </w:r>
      <w:r>
        <w:rPr>
          <w:rFonts w:hint="cs"/>
          <w:rtl/>
        </w:rPr>
        <w:t>היום</w:t>
      </w:r>
      <w:r>
        <w:t xml:space="preserve"> </w:t>
      </w:r>
      <w:r>
        <w:rPr>
          <w:rFonts w:hint="cs"/>
          <w:rtl/>
        </w:rPr>
        <w:t>כתב</w:t>
      </w:r>
      <w:r>
        <w:t xml:space="preserve"> </w:t>
      </w:r>
      <w:r>
        <w:rPr>
          <w:rFonts w:hint="cs"/>
          <w:rtl/>
        </w:rPr>
        <w:t>אישום</w:t>
      </w:r>
      <w:r>
        <w:t xml:space="preserve"> </w:t>
      </w:r>
      <w:r>
        <w:rPr>
          <w:rFonts w:hint="cs"/>
          <w:rtl/>
        </w:rPr>
        <w:t>ובצדו</w:t>
      </w:r>
      <w:r>
        <w:t xml:space="preserve"> </w:t>
      </w:r>
      <w:r>
        <w:rPr>
          <w:rFonts w:hint="cs"/>
          <w:rtl/>
        </w:rPr>
        <w:t>בקשה</w:t>
      </w:r>
      <w:r>
        <w:t xml:space="preserve"> </w:t>
      </w:r>
      <w:r>
        <w:rPr>
          <w:rFonts w:hint="cs"/>
          <w:rtl/>
        </w:rPr>
        <w:t>למעצר</w:t>
      </w:r>
      <w:r>
        <w:t xml:space="preserve"> </w:t>
      </w:r>
      <w:r>
        <w:rPr>
          <w:rFonts w:hint="cs"/>
          <w:rtl/>
        </w:rPr>
        <w:t>עד</w:t>
      </w:r>
      <w:r>
        <w:t xml:space="preserve"> </w:t>
      </w:r>
      <w:r>
        <w:rPr>
          <w:rFonts w:hint="cs"/>
          <w:rtl/>
        </w:rPr>
        <w:t>תום</w:t>
      </w:r>
      <w:r>
        <w:t xml:space="preserve"> </w:t>
      </w:r>
      <w:r>
        <w:rPr>
          <w:rFonts w:hint="cs"/>
          <w:rtl/>
        </w:rPr>
        <w:t>ההליכים. בחינת</w:t>
      </w:r>
      <w:r>
        <w:t xml:space="preserve"> </w:t>
      </w:r>
      <w:r>
        <w:rPr>
          <w:rFonts w:hint="cs"/>
          <w:rtl/>
        </w:rPr>
        <w:t>עניינו</w:t>
      </w:r>
      <w:r>
        <w:t xml:space="preserve"> </w:t>
      </w:r>
      <w:r>
        <w:rPr>
          <w:rFonts w:hint="cs"/>
          <w:rtl/>
        </w:rPr>
        <w:t>של</w:t>
      </w:r>
      <w:r>
        <w:t xml:space="preserve"> </w:t>
      </w:r>
      <w:r>
        <w:rPr>
          <w:rFonts w:hint="cs"/>
          <w:rtl/>
        </w:rPr>
        <w:t>מי</w:t>
      </w:r>
      <w:r>
        <w:t xml:space="preserve"> </w:t>
      </w:r>
      <w:r>
        <w:rPr>
          <w:rFonts w:hint="cs"/>
          <w:rtl/>
        </w:rPr>
        <w:t>שהוחלט</w:t>
      </w:r>
      <w:r>
        <w:t xml:space="preserve"> </w:t>
      </w:r>
      <w:r>
        <w:rPr>
          <w:rFonts w:hint="cs"/>
          <w:rtl/>
        </w:rPr>
        <w:t>לקיים</w:t>
      </w:r>
      <w:r>
        <w:t xml:space="preserve"> </w:t>
      </w:r>
      <w:r>
        <w:rPr>
          <w:rFonts w:hint="cs"/>
          <w:rtl/>
        </w:rPr>
        <w:t>בעניינו</w:t>
      </w:r>
      <w:r>
        <w:t xml:space="preserve"> </w:t>
      </w:r>
      <w:r>
        <w:rPr>
          <w:rFonts w:hint="cs"/>
          <w:rtl/>
        </w:rPr>
        <w:t>משפט</w:t>
      </w:r>
      <w:r>
        <w:t xml:space="preserve"> </w:t>
      </w:r>
      <w:r>
        <w:rPr>
          <w:rFonts w:hint="cs"/>
          <w:rtl/>
        </w:rPr>
        <w:t>חוזר</w:t>
      </w:r>
      <w:r>
        <w:t xml:space="preserve"> </w:t>
      </w:r>
      <w:r>
        <w:rPr>
          <w:rFonts w:hint="cs"/>
          <w:rtl/>
        </w:rPr>
        <w:t>לאחר</w:t>
      </w:r>
      <w:r>
        <w:t xml:space="preserve"> </w:t>
      </w:r>
      <w:r>
        <w:rPr>
          <w:rFonts w:hint="cs"/>
          <w:rtl/>
        </w:rPr>
        <w:t>15</w:t>
      </w:r>
      <w:r>
        <w:t xml:space="preserve"> </w:t>
      </w:r>
      <w:r>
        <w:rPr>
          <w:rFonts w:hint="cs"/>
          <w:rtl/>
        </w:rPr>
        <w:t>שנים</w:t>
      </w:r>
      <w:r>
        <w:t xml:space="preserve"> </w:t>
      </w:r>
      <w:r>
        <w:rPr>
          <w:rFonts w:hint="cs"/>
          <w:rtl/>
        </w:rPr>
        <w:t>שבהן</w:t>
      </w:r>
      <w:r>
        <w:t xml:space="preserve"> </w:t>
      </w:r>
      <w:r>
        <w:rPr>
          <w:rFonts w:hint="cs"/>
          <w:rtl/>
        </w:rPr>
        <w:t>הוא</w:t>
      </w:r>
      <w:r>
        <w:t xml:space="preserve"> </w:t>
      </w:r>
      <w:r>
        <w:rPr>
          <w:rFonts w:hint="cs"/>
          <w:rtl/>
        </w:rPr>
        <w:t>יושב</w:t>
      </w:r>
      <w:r>
        <w:t xml:space="preserve"> </w:t>
      </w:r>
      <w:r>
        <w:rPr>
          <w:rFonts w:hint="cs"/>
          <w:rtl/>
        </w:rPr>
        <w:t>בכלא</w:t>
      </w:r>
      <w:r>
        <w:t xml:space="preserve"> </w:t>
      </w:r>
      <w:r>
        <w:rPr>
          <w:rFonts w:hint="cs"/>
          <w:rtl/>
        </w:rPr>
        <w:t>לא</w:t>
      </w:r>
      <w:r>
        <w:t xml:space="preserve"> </w:t>
      </w:r>
      <w:r>
        <w:rPr>
          <w:rFonts w:hint="cs"/>
          <w:rtl/>
        </w:rPr>
        <w:t>נעשית</w:t>
      </w:r>
      <w:r>
        <w:t xml:space="preserve"> </w:t>
      </w:r>
      <w:r>
        <w:rPr>
          <w:rFonts w:hint="cs"/>
          <w:rtl/>
        </w:rPr>
        <w:t>באותם</w:t>
      </w:r>
      <w:r>
        <w:t xml:space="preserve"> </w:t>
      </w:r>
      <w:r>
        <w:rPr>
          <w:rFonts w:hint="cs"/>
          <w:rtl/>
        </w:rPr>
        <w:t>כלים</w:t>
      </w:r>
      <w:r>
        <w:t xml:space="preserve"> </w:t>
      </w:r>
      <w:r>
        <w:rPr>
          <w:rFonts w:hint="cs"/>
          <w:rtl/>
        </w:rPr>
        <w:t>שבהם</w:t>
      </w:r>
      <w:r>
        <w:t xml:space="preserve"> </w:t>
      </w:r>
      <w:r>
        <w:rPr>
          <w:rFonts w:hint="cs"/>
          <w:rtl/>
        </w:rPr>
        <w:t>בוחנים</w:t>
      </w:r>
      <w:r>
        <w:t xml:space="preserve"> </w:t>
      </w:r>
      <w:r>
        <w:rPr>
          <w:rFonts w:hint="cs"/>
          <w:rtl/>
        </w:rPr>
        <w:t>בקשה</w:t>
      </w:r>
      <w:r>
        <w:t xml:space="preserve"> </w:t>
      </w:r>
      <w:r>
        <w:rPr>
          <w:rFonts w:hint="cs"/>
          <w:rtl/>
        </w:rPr>
        <w:t>חדשה</w:t>
      </w:r>
      <w:r>
        <w:t xml:space="preserve"> </w:t>
      </w:r>
      <w:r>
        <w:rPr>
          <w:rFonts w:hint="cs"/>
          <w:rtl/>
        </w:rPr>
        <w:t>למעצר.</w:t>
      </w:r>
    </w:p>
    <w:p w:rsidR="003C5F47" w:rsidRDefault="003C5F47" w:rsidP="003C5F47">
      <w:pPr>
        <w:pStyle w:val="Ruller5"/>
        <w:rPr>
          <w:rtl/>
        </w:rPr>
      </w:pPr>
    </w:p>
    <w:p w:rsidR="003C5F47" w:rsidRDefault="003C5F47" w:rsidP="003C5F47">
      <w:pPr>
        <w:pStyle w:val="Ruller5"/>
        <w:rPr>
          <w:rtl/>
        </w:rPr>
      </w:pPr>
      <w:r>
        <w:rPr>
          <w:rFonts w:hint="cs"/>
          <w:rtl/>
        </w:rPr>
        <w:t>[...]</w:t>
      </w:r>
    </w:p>
    <w:p w:rsidR="003C5F47" w:rsidRDefault="003C5F47" w:rsidP="003C5F47">
      <w:pPr>
        <w:pStyle w:val="Ruller5"/>
        <w:rPr>
          <w:rtl/>
        </w:rPr>
      </w:pPr>
    </w:p>
    <w:p w:rsidR="003C5F47" w:rsidRDefault="003C5F47" w:rsidP="003C5F47">
      <w:pPr>
        <w:pStyle w:val="Ruller5"/>
        <w:rPr>
          <w:rtl/>
        </w:rPr>
      </w:pPr>
      <w:r>
        <w:rPr>
          <w:rFonts w:hint="cs"/>
          <w:rtl/>
        </w:rPr>
        <w:t>בחלוף 15 שנים שבהן שהה המבקש בכלא והרשעתו בוטלה, נקודת האיזון השתנתה, והדגש היום הוא על זכויות המבקש ושמירה עליהן נוכח הפרת האיזון שנקבע בחוק המעצרים לעניין משך תקופת המעצר אף בעבירות חמורות כגון רצח [...]" (ראו: פסקאות 22 ו-25 להחלטה קמא).</w:t>
      </w:r>
    </w:p>
    <w:p w:rsidR="003C5F47" w:rsidRDefault="003C5F47" w:rsidP="003C5F47">
      <w:pPr>
        <w:pStyle w:val="Ruller5"/>
        <w:rPr>
          <w:rtl/>
        </w:rPr>
      </w:pPr>
    </w:p>
    <w:p w:rsidR="003C5F47" w:rsidRDefault="003C5F47" w:rsidP="003C5F47">
      <w:pPr>
        <w:pStyle w:val="Ruller4"/>
        <w:rPr>
          <w:rtl/>
        </w:rPr>
      </w:pPr>
      <w:r>
        <w:rPr>
          <w:rFonts w:hint="cs"/>
          <w:rtl/>
        </w:rPr>
        <w:t xml:space="preserve">בית משפט קמא הוסיף וקבע כי בנסיבות אלה "לא המבקש היה צריך להוכיח כי הוא ראוי להשתחרר, אלא היה על המשיבה להראות כי על אף חלוף הזמן, קיימות נסיבות מיוחדות המצדיקות המשך החזקתו של המבקש במעצר מאחורי סורג ובריח" (ראו: שם, פסקה 27). </w:t>
      </w:r>
    </w:p>
    <w:p w:rsidR="003C5F47" w:rsidRPr="00AD6FDC" w:rsidRDefault="003C5F47" w:rsidP="003C5F47">
      <w:pPr>
        <w:pStyle w:val="Ruller41"/>
      </w:pPr>
    </w:p>
    <w:p w:rsidR="003C5F47" w:rsidRDefault="003C5F47" w:rsidP="003C5F47">
      <w:pPr>
        <w:pStyle w:val="Ruller4"/>
        <w:rPr>
          <w:rtl/>
        </w:rPr>
      </w:pPr>
      <w:r>
        <w:rPr>
          <w:rFonts w:hint="cs"/>
          <w:rtl/>
        </w:rPr>
        <w:t xml:space="preserve">בית המשפט סבר כי המדינה לא עמדה בנטל המוטל עליה </w:t>
      </w:r>
      <w:r>
        <w:rPr>
          <w:rtl/>
        </w:rPr>
        <w:t>–</w:t>
      </w:r>
      <w:r>
        <w:rPr>
          <w:rFonts w:hint="cs"/>
          <w:rtl/>
        </w:rPr>
        <w:t xml:space="preserve"> זאת, מכמה טעמים. ראשית, "למבקש אין עבר פלילי, התנהלותו בכלא הייתה תקינה, ולא נרשמו לחובתו עבירות משמעת משמעותיות". שנית, "המבקש שובץ לעבודה במסגרייה בתוך כותלי </w:t>
      </w:r>
      <w:r>
        <w:rPr>
          <w:rFonts w:hint="cs"/>
          <w:rtl/>
        </w:rPr>
        <w:lastRenderedPageBreak/>
        <w:t xml:space="preserve">הכלא, והוא עובד שם באופן סדיר וללא תקלות כלשהן". שלישית, "המבקש נשוי לישראלית ואב לשני ילדים קטינים, כאשר הגדול שבהם הוא בן 15 שנים" (ראו: שם). </w:t>
      </w:r>
    </w:p>
    <w:p w:rsidR="003C5F47" w:rsidRPr="00B7550D" w:rsidRDefault="003C5F47" w:rsidP="003C5F47">
      <w:pPr>
        <w:pStyle w:val="Ruller41"/>
      </w:pPr>
    </w:p>
    <w:p w:rsidR="003C5F47" w:rsidRDefault="003C5F47" w:rsidP="003C5F47">
      <w:pPr>
        <w:pStyle w:val="Ruller4"/>
        <w:rPr>
          <w:rtl/>
        </w:rPr>
      </w:pPr>
      <w:r>
        <w:rPr>
          <w:rFonts w:hint="cs"/>
          <w:rtl/>
        </w:rPr>
        <w:t xml:space="preserve">על יסוד שיקולים אלה, הורה בית משפט קמא, בהחלטתו מיום 3.8.2021, כי המשיב ייעצר מחוץ לכלא באזוק אלקטרוני בבית הורי אשתו בקצרין </w:t>
      </w:r>
      <w:r>
        <w:rPr>
          <w:rtl/>
        </w:rPr>
        <w:t>–</w:t>
      </w:r>
      <w:r>
        <w:rPr>
          <w:rFonts w:hint="cs"/>
          <w:rtl/>
        </w:rPr>
        <w:t xml:space="preserve"> זאת, בתנאים אשר כוללים פיקוח אנושי, איסור יציאה מן הארץ והפקדת ביטחונות כספיים משמעותיים. בהמשך להחלטה זו, בית המשפט קבע כי לנוכח נסיבותיו המיוחדות של המקרה, אין הוא נזקק לתסקיר מעצר בעניינו של המשיב על-מנת להורות על מעצרו בפיקוח אלקטרוני. בהחלטתו מיום 18.8.2021, אשר ניתנה לאחר חקירת המפקחים המוצעים, העלה בית המשפט את גובה הביטחונות הכספיים וקבע כי המפקחים יהיו אשתו של המשיב, אולגה </w:t>
      </w:r>
      <w:proofErr w:type="spellStart"/>
      <w:r>
        <w:rPr>
          <w:rFonts w:hint="cs"/>
          <w:rtl/>
        </w:rPr>
        <w:t>גרישייב</w:t>
      </w:r>
      <w:proofErr w:type="spellEnd"/>
      <w:r>
        <w:rPr>
          <w:rFonts w:hint="cs"/>
          <w:rtl/>
        </w:rPr>
        <w:t xml:space="preserve">, וכן ויקטוריה </w:t>
      </w:r>
      <w:proofErr w:type="spellStart"/>
      <w:r>
        <w:rPr>
          <w:rFonts w:hint="cs"/>
          <w:rtl/>
        </w:rPr>
        <w:t>רוגצ'בסקי</w:t>
      </w:r>
      <w:proofErr w:type="spellEnd"/>
      <w:r>
        <w:rPr>
          <w:rFonts w:hint="cs"/>
          <w:rtl/>
        </w:rPr>
        <w:t xml:space="preserve">, קרינה </w:t>
      </w:r>
      <w:proofErr w:type="spellStart"/>
      <w:r>
        <w:rPr>
          <w:rFonts w:hint="cs"/>
          <w:rtl/>
        </w:rPr>
        <w:t>סנדקוב</w:t>
      </w:r>
      <w:proofErr w:type="spellEnd"/>
      <w:r>
        <w:rPr>
          <w:rFonts w:hint="cs"/>
          <w:rtl/>
        </w:rPr>
        <w:t xml:space="preserve">, </w:t>
      </w:r>
      <w:proofErr w:type="spellStart"/>
      <w:r>
        <w:rPr>
          <w:rFonts w:hint="cs"/>
          <w:rtl/>
        </w:rPr>
        <w:t>יבגניה</w:t>
      </w:r>
      <w:proofErr w:type="spellEnd"/>
      <w:r>
        <w:rPr>
          <w:rFonts w:hint="cs"/>
          <w:rtl/>
        </w:rPr>
        <w:t xml:space="preserve"> </w:t>
      </w:r>
      <w:proofErr w:type="spellStart"/>
      <w:r>
        <w:rPr>
          <w:rFonts w:hint="cs"/>
          <w:rtl/>
        </w:rPr>
        <w:t>גרישייב</w:t>
      </w:r>
      <w:proofErr w:type="spellEnd"/>
      <w:r>
        <w:rPr>
          <w:rFonts w:hint="cs"/>
          <w:rtl/>
        </w:rPr>
        <w:t xml:space="preserve"> ואלכסנדר </w:t>
      </w:r>
      <w:proofErr w:type="spellStart"/>
      <w:r>
        <w:rPr>
          <w:rFonts w:hint="cs"/>
          <w:rtl/>
        </w:rPr>
        <w:t>סנדקוב</w:t>
      </w:r>
      <w:proofErr w:type="spellEnd"/>
      <w:r>
        <w:rPr>
          <w:rFonts w:hint="cs"/>
          <w:rtl/>
        </w:rPr>
        <w:t xml:space="preserve">. </w:t>
      </w:r>
    </w:p>
    <w:p w:rsidR="003C5F47" w:rsidRPr="008E69C5" w:rsidRDefault="003C5F47" w:rsidP="003C5F47">
      <w:pPr>
        <w:pStyle w:val="Ruller41"/>
      </w:pPr>
    </w:p>
    <w:p w:rsidR="003C5F47" w:rsidRDefault="003C5F47" w:rsidP="003C5F47">
      <w:pPr>
        <w:pStyle w:val="Ruller4"/>
        <w:rPr>
          <w:rtl/>
        </w:rPr>
      </w:pPr>
      <w:r>
        <w:rPr>
          <w:rFonts w:hint="cs"/>
          <w:rtl/>
        </w:rPr>
        <w:t xml:space="preserve">מכאן ערר המדינה אשר מונח כעת לפניי. </w:t>
      </w:r>
    </w:p>
    <w:p w:rsidR="003C5F47" w:rsidRPr="003E337E" w:rsidRDefault="003C5F47" w:rsidP="003C5F47">
      <w:pPr>
        <w:pStyle w:val="Ruller41"/>
      </w:pPr>
    </w:p>
    <w:p w:rsidR="003C5F47" w:rsidRPr="00C973ED" w:rsidRDefault="003C5F47" w:rsidP="003C5F47">
      <w:pPr>
        <w:pStyle w:val="Ruller41"/>
        <w:rPr>
          <w:rFonts w:ascii="Century" w:hAnsi="Century" w:cs="Miriam"/>
          <w:b/>
          <w:spacing w:val="0"/>
          <w:szCs w:val="24"/>
          <w:rtl/>
        </w:rPr>
      </w:pPr>
      <w:r w:rsidRPr="00C973ED">
        <w:rPr>
          <w:rFonts w:ascii="Century" w:hAnsi="Century" w:cs="Miriam" w:hint="cs"/>
          <w:b/>
          <w:spacing w:val="0"/>
          <w:szCs w:val="24"/>
          <w:rtl/>
        </w:rPr>
        <w:t>טענות הצדדים</w:t>
      </w:r>
    </w:p>
    <w:p w:rsidR="003C5F47" w:rsidRPr="00B7550D" w:rsidRDefault="003C5F47" w:rsidP="003C5F47">
      <w:pPr>
        <w:pStyle w:val="Ruller41"/>
      </w:pPr>
    </w:p>
    <w:p w:rsidR="003C5F47" w:rsidRDefault="003C5F47" w:rsidP="003C5F47">
      <w:pPr>
        <w:pStyle w:val="Ruller4"/>
        <w:rPr>
          <w:rtl/>
        </w:rPr>
      </w:pPr>
      <w:r>
        <w:rPr>
          <w:rFonts w:hint="cs"/>
          <w:rtl/>
        </w:rPr>
        <w:t xml:space="preserve"> המדינה טוענת כי בהחלטה קמא נפלו טעויות במשקל שניתן להחלטה בדבר המשפט החוזר, בהערכת עוצמתן של הראיות נגד המשיב ובאומדן המסוכנות הנשקפת ממנו לציבור.</w:t>
      </w:r>
    </w:p>
    <w:p w:rsidR="003C5F47" w:rsidRPr="004622C6" w:rsidRDefault="003C5F47" w:rsidP="003C5F47">
      <w:pPr>
        <w:pStyle w:val="Ruller41"/>
      </w:pPr>
    </w:p>
    <w:p w:rsidR="003C5F47" w:rsidRDefault="003C5F47" w:rsidP="003C5F47">
      <w:pPr>
        <w:pStyle w:val="Ruller4"/>
        <w:rPr>
          <w:rtl/>
        </w:rPr>
      </w:pPr>
      <w:r>
        <w:rPr>
          <w:rFonts w:hint="cs"/>
          <w:rtl/>
        </w:rPr>
        <w:t xml:space="preserve">לטענת המדינה, משפט חוזר הוא ככל משפט פלילי אחר: בעצם ההוראה לקיימו, כשיקול למציאת חלופה למעצרו של הנאשם מאחורי סורג ובריח, אין שום רבותא. מה שקובע </w:t>
      </w:r>
      <w:proofErr w:type="spellStart"/>
      <w:r>
        <w:rPr>
          <w:rFonts w:hint="cs"/>
          <w:rtl/>
        </w:rPr>
        <w:t>בכגון</w:t>
      </w:r>
      <w:proofErr w:type="spellEnd"/>
      <w:r>
        <w:rPr>
          <w:rFonts w:hint="cs"/>
          <w:rtl/>
        </w:rPr>
        <w:t xml:space="preserve"> דא הוא מצב הראיות, כשבענייננו אלו מצביעות על כך שהמשיב רצח את המנוחה באכזריות רבה. עוצמתן של ראיות אלו עולה על הנדרש בהלכת </w:t>
      </w:r>
      <w:proofErr w:type="spellStart"/>
      <w:r w:rsidRPr="00DB7EC6">
        <w:rPr>
          <w:rFonts w:ascii="Century" w:hAnsi="Century" w:cs="Miriam" w:hint="cs"/>
          <w:b/>
          <w:spacing w:val="0"/>
          <w:sz w:val="22"/>
          <w:szCs w:val="24"/>
          <w:rtl/>
        </w:rPr>
        <w:t>זאדה</w:t>
      </w:r>
      <w:proofErr w:type="spellEnd"/>
      <w:r>
        <w:rPr>
          <w:rFonts w:hint="cs"/>
          <w:rtl/>
        </w:rPr>
        <w:t xml:space="preserve"> (ראו: </w:t>
      </w:r>
      <w:proofErr w:type="spellStart"/>
      <w:r w:rsidRPr="00DB7EC6">
        <w:rPr>
          <w:rFonts w:hint="eastAsia"/>
          <w:rtl/>
        </w:rPr>
        <w:t>בש</w:t>
      </w:r>
      <w:r w:rsidRPr="00DB7EC6">
        <w:rPr>
          <w:rtl/>
        </w:rPr>
        <w:t>"</w:t>
      </w:r>
      <w:r w:rsidRPr="00DB7EC6">
        <w:rPr>
          <w:rFonts w:hint="eastAsia"/>
          <w:rtl/>
        </w:rPr>
        <w:t>פ</w:t>
      </w:r>
      <w:proofErr w:type="spellEnd"/>
      <w:r w:rsidRPr="00DB7EC6">
        <w:rPr>
          <w:rtl/>
        </w:rPr>
        <w:t xml:space="preserve"> 8087/95 </w:t>
      </w:r>
      <w:proofErr w:type="spellStart"/>
      <w:r w:rsidRPr="00DB7EC6">
        <w:rPr>
          <w:rFonts w:ascii="Century" w:hAnsi="Century" w:cs="Miriam" w:hint="eastAsia"/>
          <w:b/>
          <w:spacing w:val="0"/>
          <w:sz w:val="22"/>
          <w:szCs w:val="24"/>
          <w:rtl/>
        </w:rPr>
        <w:t>זאדה</w:t>
      </w:r>
      <w:proofErr w:type="spellEnd"/>
      <w:r w:rsidRPr="00DB7EC6">
        <w:rPr>
          <w:rFonts w:ascii="Century" w:hAnsi="Century" w:cs="Miriam"/>
          <w:b/>
          <w:spacing w:val="0"/>
          <w:sz w:val="22"/>
          <w:szCs w:val="24"/>
          <w:rtl/>
        </w:rPr>
        <w:t xml:space="preserve"> </w:t>
      </w:r>
      <w:r w:rsidRPr="00DB7EC6">
        <w:rPr>
          <w:rFonts w:ascii="Century" w:hAnsi="Century" w:cs="Miriam" w:hint="eastAsia"/>
          <w:b/>
          <w:spacing w:val="0"/>
          <w:sz w:val="22"/>
          <w:szCs w:val="24"/>
          <w:rtl/>
        </w:rPr>
        <w:t>נ</w:t>
      </w:r>
      <w:r w:rsidRPr="00DB7EC6">
        <w:rPr>
          <w:rFonts w:ascii="Century" w:hAnsi="Century" w:cs="Miriam"/>
          <w:b/>
          <w:spacing w:val="0"/>
          <w:sz w:val="22"/>
          <w:szCs w:val="24"/>
          <w:rtl/>
        </w:rPr>
        <w:t xml:space="preserve">' </w:t>
      </w:r>
      <w:r w:rsidRPr="00DB7EC6">
        <w:rPr>
          <w:rFonts w:ascii="Century" w:hAnsi="Century" w:cs="Miriam" w:hint="eastAsia"/>
          <w:b/>
          <w:spacing w:val="0"/>
          <w:sz w:val="22"/>
          <w:szCs w:val="24"/>
          <w:rtl/>
        </w:rPr>
        <w:t>מדינת</w:t>
      </w:r>
      <w:r w:rsidRPr="00DB7EC6">
        <w:rPr>
          <w:rFonts w:ascii="Century" w:hAnsi="Century" w:cs="Miriam"/>
          <w:b/>
          <w:spacing w:val="0"/>
          <w:sz w:val="22"/>
          <w:szCs w:val="24"/>
          <w:rtl/>
        </w:rPr>
        <w:t xml:space="preserve"> </w:t>
      </w:r>
      <w:r w:rsidRPr="00DB7EC6">
        <w:rPr>
          <w:rFonts w:ascii="Century" w:hAnsi="Century" w:cs="Miriam" w:hint="eastAsia"/>
          <w:b/>
          <w:spacing w:val="0"/>
          <w:sz w:val="22"/>
          <w:szCs w:val="24"/>
          <w:rtl/>
        </w:rPr>
        <w:t>ישראל</w:t>
      </w:r>
      <w:r w:rsidRPr="00DB7EC6">
        <w:rPr>
          <w:rtl/>
        </w:rPr>
        <w:t>,</w:t>
      </w:r>
      <w:r>
        <w:rPr>
          <w:rFonts w:hint="cs"/>
          <w:rtl/>
        </w:rPr>
        <w:t xml:space="preserve"> פ"ד</w:t>
      </w:r>
      <w:r w:rsidRPr="00DB7EC6">
        <w:rPr>
          <w:rtl/>
        </w:rPr>
        <w:t xml:space="preserve"> </w:t>
      </w:r>
      <w:r w:rsidRPr="00DB7EC6">
        <w:rPr>
          <w:rFonts w:hint="eastAsia"/>
          <w:rtl/>
        </w:rPr>
        <w:t>נ</w:t>
      </w:r>
      <w:r w:rsidRPr="00DB7EC6">
        <w:rPr>
          <w:rtl/>
        </w:rPr>
        <w:t>(2) 133</w:t>
      </w:r>
      <w:r>
        <w:rPr>
          <w:rFonts w:hint="cs"/>
          <w:rtl/>
        </w:rPr>
        <w:t>, 167-163</w:t>
      </w:r>
      <w:r w:rsidRPr="00DB7EC6">
        <w:rPr>
          <w:rtl/>
        </w:rPr>
        <w:t xml:space="preserve"> (1996)</w:t>
      </w:r>
      <w:r>
        <w:rPr>
          <w:rFonts w:hint="cs"/>
          <w:rtl/>
        </w:rPr>
        <w:t>), ביחס ל"ראיות לכאורה" הנחוצות למעצר הנאשם עד תום ההליכים. ראיות כאמור צריכות לעמוד בהצלחה במבחן של "אם נאמין": "</w:t>
      </w:r>
      <w:r w:rsidRPr="002B5E47">
        <w:rPr>
          <w:rFonts w:hint="eastAsia"/>
          <w:rtl/>
        </w:rPr>
        <w:t>אם</w:t>
      </w:r>
      <w:r w:rsidRPr="002B5E47">
        <w:rPr>
          <w:rtl/>
        </w:rPr>
        <w:t xml:space="preserve"> </w:t>
      </w:r>
      <w:r w:rsidRPr="002B5E47">
        <w:rPr>
          <w:rFonts w:hint="eastAsia"/>
          <w:rtl/>
        </w:rPr>
        <w:t>נאמין</w:t>
      </w:r>
      <w:r w:rsidRPr="002B5E47">
        <w:rPr>
          <w:rtl/>
        </w:rPr>
        <w:t xml:space="preserve"> </w:t>
      </w:r>
      <w:r w:rsidRPr="002B5E47">
        <w:rPr>
          <w:rFonts w:hint="eastAsia"/>
          <w:rtl/>
        </w:rPr>
        <w:t>לראיות</w:t>
      </w:r>
      <w:r w:rsidRPr="002B5E47">
        <w:rPr>
          <w:rtl/>
        </w:rPr>
        <w:t xml:space="preserve"> </w:t>
      </w:r>
      <w:r w:rsidRPr="002B5E47">
        <w:rPr>
          <w:rFonts w:hint="eastAsia"/>
          <w:rtl/>
        </w:rPr>
        <w:t>התביעה</w:t>
      </w:r>
      <w:r w:rsidRPr="002B5E47">
        <w:rPr>
          <w:rtl/>
        </w:rPr>
        <w:t xml:space="preserve">, </w:t>
      </w:r>
      <w:r w:rsidRPr="002B5E47">
        <w:rPr>
          <w:rFonts w:hint="eastAsia"/>
          <w:rtl/>
        </w:rPr>
        <w:t>האם</w:t>
      </w:r>
      <w:r w:rsidRPr="002B5E47">
        <w:rPr>
          <w:rtl/>
        </w:rPr>
        <w:t xml:space="preserve"> </w:t>
      </w:r>
      <w:r w:rsidRPr="002B5E47">
        <w:rPr>
          <w:rFonts w:hint="eastAsia"/>
          <w:rtl/>
        </w:rPr>
        <w:t>יהא</w:t>
      </w:r>
      <w:r w:rsidRPr="002B5E47">
        <w:rPr>
          <w:rtl/>
        </w:rPr>
        <w:t xml:space="preserve"> </w:t>
      </w:r>
      <w:r w:rsidRPr="002B5E47">
        <w:rPr>
          <w:rFonts w:hint="eastAsia"/>
          <w:rtl/>
        </w:rPr>
        <w:t>בהן</w:t>
      </w:r>
      <w:r w:rsidRPr="002B5E47">
        <w:rPr>
          <w:rtl/>
        </w:rPr>
        <w:t xml:space="preserve"> </w:t>
      </w:r>
      <w:r w:rsidRPr="002B5E47">
        <w:rPr>
          <w:rFonts w:hint="eastAsia"/>
          <w:rtl/>
        </w:rPr>
        <w:t>כדי</w:t>
      </w:r>
      <w:r w:rsidRPr="002B5E47">
        <w:rPr>
          <w:rtl/>
        </w:rPr>
        <w:t xml:space="preserve"> </w:t>
      </w:r>
      <w:r w:rsidRPr="002B5E47">
        <w:rPr>
          <w:rFonts w:hint="eastAsia"/>
          <w:rtl/>
        </w:rPr>
        <w:t>לחייב</w:t>
      </w:r>
      <w:r w:rsidRPr="002B5E47">
        <w:rPr>
          <w:rtl/>
        </w:rPr>
        <w:t xml:space="preserve"> </w:t>
      </w:r>
      <w:r w:rsidRPr="002B5E47">
        <w:rPr>
          <w:rFonts w:hint="eastAsia"/>
          <w:rtl/>
        </w:rPr>
        <w:t>את</w:t>
      </w:r>
      <w:r w:rsidRPr="002B5E47">
        <w:rPr>
          <w:rtl/>
        </w:rPr>
        <w:t xml:space="preserve"> </w:t>
      </w:r>
      <w:r w:rsidRPr="002B5E47">
        <w:rPr>
          <w:rFonts w:hint="eastAsia"/>
          <w:rtl/>
        </w:rPr>
        <w:t>המסקנה</w:t>
      </w:r>
      <w:r w:rsidRPr="002B5E47">
        <w:rPr>
          <w:rtl/>
        </w:rPr>
        <w:t xml:space="preserve"> </w:t>
      </w:r>
      <w:r w:rsidRPr="002B5E47">
        <w:rPr>
          <w:rFonts w:hint="eastAsia"/>
          <w:rtl/>
        </w:rPr>
        <w:t>שהעורר</w:t>
      </w:r>
      <w:r w:rsidRPr="002B5E47">
        <w:rPr>
          <w:rtl/>
        </w:rPr>
        <w:t xml:space="preserve"> </w:t>
      </w:r>
      <w:r w:rsidRPr="002B5E47">
        <w:rPr>
          <w:rFonts w:hint="eastAsia"/>
          <w:rtl/>
        </w:rPr>
        <w:t>ביצע</w:t>
      </w:r>
      <w:r w:rsidRPr="002B5E47">
        <w:rPr>
          <w:rtl/>
        </w:rPr>
        <w:t xml:space="preserve"> </w:t>
      </w:r>
      <w:r w:rsidRPr="002B5E47">
        <w:rPr>
          <w:rFonts w:hint="eastAsia"/>
          <w:rtl/>
        </w:rPr>
        <w:t>את</w:t>
      </w:r>
      <w:r w:rsidRPr="002B5E47">
        <w:rPr>
          <w:rtl/>
        </w:rPr>
        <w:t xml:space="preserve"> </w:t>
      </w:r>
      <w:r w:rsidRPr="002B5E47">
        <w:rPr>
          <w:rFonts w:hint="eastAsia"/>
          <w:rtl/>
        </w:rPr>
        <w:t>המעשה</w:t>
      </w:r>
      <w:r w:rsidRPr="002B5E47">
        <w:rPr>
          <w:rtl/>
        </w:rPr>
        <w:t xml:space="preserve"> </w:t>
      </w:r>
      <w:r w:rsidRPr="002B5E47">
        <w:rPr>
          <w:rFonts w:hint="eastAsia"/>
          <w:rtl/>
        </w:rPr>
        <w:t>המיוחס</w:t>
      </w:r>
      <w:r w:rsidRPr="002B5E47">
        <w:rPr>
          <w:rtl/>
        </w:rPr>
        <w:t xml:space="preserve"> </w:t>
      </w:r>
      <w:r w:rsidRPr="002B5E47">
        <w:rPr>
          <w:rFonts w:hint="eastAsia"/>
          <w:rtl/>
        </w:rPr>
        <w:t>לו</w:t>
      </w:r>
      <w:r w:rsidRPr="002B5E47">
        <w:rPr>
          <w:rtl/>
        </w:rPr>
        <w:t>?</w:t>
      </w:r>
      <w:r w:rsidRPr="002B5E47">
        <w:rPr>
          <w:rFonts w:hint="eastAsia"/>
          <w:rtl/>
        </w:rPr>
        <w:t>״</w:t>
      </w:r>
      <w:r>
        <w:rPr>
          <w:rFonts w:hint="cs"/>
          <w:rtl/>
        </w:rPr>
        <w:t xml:space="preserve"> (ראו, למשל: </w:t>
      </w:r>
      <w:proofErr w:type="spellStart"/>
      <w:r w:rsidRPr="002B5E47">
        <w:rPr>
          <w:rFonts w:hint="eastAsia"/>
          <w:rtl/>
        </w:rPr>
        <w:t>בש</w:t>
      </w:r>
      <w:r w:rsidRPr="002B5E47">
        <w:rPr>
          <w:rtl/>
        </w:rPr>
        <w:t>"</w:t>
      </w:r>
      <w:r w:rsidRPr="002B5E47">
        <w:rPr>
          <w:rFonts w:hint="eastAsia"/>
          <w:rtl/>
        </w:rPr>
        <w:t>פ</w:t>
      </w:r>
      <w:proofErr w:type="spellEnd"/>
      <w:r w:rsidRPr="002B5E47">
        <w:rPr>
          <w:rtl/>
        </w:rPr>
        <w:t xml:space="preserve"> 215/19 </w:t>
      </w:r>
      <w:proofErr w:type="spellStart"/>
      <w:r w:rsidRPr="002B5E47">
        <w:rPr>
          <w:rFonts w:ascii="Century" w:hAnsi="Century" w:cs="Miriam" w:hint="eastAsia"/>
          <w:b/>
          <w:spacing w:val="0"/>
          <w:sz w:val="22"/>
          <w:szCs w:val="24"/>
          <w:rtl/>
        </w:rPr>
        <w:t>סלאימה</w:t>
      </w:r>
      <w:proofErr w:type="spellEnd"/>
      <w:r w:rsidRPr="002B5E47">
        <w:rPr>
          <w:rFonts w:ascii="Century" w:hAnsi="Century" w:cs="Miriam"/>
          <w:b/>
          <w:spacing w:val="0"/>
          <w:sz w:val="22"/>
          <w:szCs w:val="24"/>
          <w:rtl/>
        </w:rPr>
        <w:t xml:space="preserve"> </w:t>
      </w:r>
      <w:r w:rsidRPr="002B5E47">
        <w:rPr>
          <w:rFonts w:ascii="Century" w:hAnsi="Century" w:cs="Miriam" w:hint="eastAsia"/>
          <w:b/>
          <w:spacing w:val="0"/>
          <w:sz w:val="22"/>
          <w:szCs w:val="24"/>
          <w:rtl/>
        </w:rPr>
        <w:t>נ</w:t>
      </w:r>
      <w:r w:rsidRPr="002B5E47">
        <w:rPr>
          <w:rFonts w:ascii="Century" w:hAnsi="Century" w:cs="Miriam"/>
          <w:b/>
          <w:spacing w:val="0"/>
          <w:sz w:val="22"/>
          <w:szCs w:val="24"/>
          <w:rtl/>
        </w:rPr>
        <w:t xml:space="preserve">' </w:t>
      </w:r>
      <w:r w:rsidRPr="002B5E47">
        <w:rPr>
          <w:rFonts w:ascii="Century" w:hAnsi="Century" w:cs="Miriam" w:hint="eastAsia"/>
          <w:b/>
          <w:spacing w:val="0"/>
          <w:sz w:val="22"/>
          <w:szCs w:val="24"/>
          <w:rtl/>
        </w:rPr>
        <w:t>מדינת</w:t>
      </w:r>
      <w:r w:rsidRPr="002B5E47">
        <w:rPr>
          <w:rFonts w:ascii="Century" w:hAnsi="Century" w:cs="Miriam"/>
          <w:b/>
          <w:spacing w:val="0"/>
          <w:sz w:val="22"/>
          <w:szCs w:val="24"/>
          <w:rtl/>
        </w:rPr>
        <w:t xml:space="preserve"> </w:t>
      </w:r>
      <w:r w:rsidRPr="002B5E47">
        <w:rPr>
          <w:rFonts w:ascii="Century" w:hAnsi="Century" w:cs="Miriam" w:hint="eastAsia"/>
          <w:b/>
          <w:spacing w:val="0"/>
          <w:sz w:val="22"/>
          <w:szCs w:val="24"/>
          <w:rtl/>
        </w:rPr>
        <w:t>ישראל</w:t>
      </w:r>
      <w:r>
        <w:rPr>
          <w:rFonts w:hint="cs"/>
          <w:rtl/>
        </w:rPr>
        <w:t>, פסקה 15</w:t>
      </w:r>
      <w:r w:rsidRPr="002B5E47">
        <w:rPr>
          <w:rtl/>
        </w:rPr>
        <w:t xml:space="preserve"> (22.</w:t>
      </w:r>
      <w:r>
        <w:rPr>
          <w:rFonts w:hint="cs"/>
          <w:rtl/>
        </w:rPr>
        <w:t>1</w:t>
      </w:r>
      <w:r w:rsidRPr="002B5E47">
        <w:rPr>
          <w:rtl/>
        </w:rPr>
        <w:t>.2019)</w:t>
      </w:r>
      <w:r>
        <w:rPr>
          <w:rFonts w:hint="cs"/>
          <w:rtl/>
        </w:rPr>
        <w:t xml:space="preserve">; וכן, </w:t>
      </w:r>
      <w:proofErr w:type="spellStart"/>
      <w:r w:rsidRPr="002B5E47">
        <w:rPr>
          <w:rFonts w:hint="eastAsia"/>
          <w:rtl/>
        </w:rPr>
        <w:t>בש</w:t>
      </w:r>
      <w:r w:rsidRPr="002B5E47">
        <w:rPr>
          <w:rtl/>
        </w:rPr>
        <w:t>"</w:t>
      </w:r>
      <w:r w:rsidRPr="002B5E47">
        <w:rPr>
          <w:rFonts w:hint="eastAsia"/>
          <w:rtl/>
        </w:rPr>
        <w:t>פ</w:t>
      </w:r>
      <w:proofErr w:type="spellEnd"/>
      <w:r w:rsidRPr="002B5E47">
        <w:rPr>
          <w:rtl/>
        </w:rPr>
        <w:t xml:space="preserve"> 1230/20 </w:t>
      </w:r>
      <w:r w:rsidRPr="002B5E47">
        <w:rPr>
          <w:rFonts w:ascii="Century" w:hAnsi="Century" w:cs="Miriam" w:hint="eastAsia"/>
          <w:b/>
          <w:spacing w:val="0"/>
          <w:sz w:val="22"/>
          <w:szCs w:val="24"/>
          <w:rtl/>
        </w:rPr>
        <w:t>פלוני</w:t>
      </w:r>
      <w:r w:rsidRPr="002B5E47">
        <w:rPr>
          <w:rFonts w:ascii="Century" w:hAnsi="Century" w:cs="Miriam"/>
          <w:b/>
          <w:spacing w:val="0"/>
          <w:sz w:val="22"/>
          <w:szCs w:val="24"/>
          <w:rtl/>
        </w:rPr>
        <w:t xml:space="preserve"> </w:t>
      </w:r>
      <w:r w:rsidRPr="002B5E47">
        <w:rPr>
          <w:rFonts w:ascii="Century" w:hAnsi="Century" w:cs="Miriam" w:hint="eastAsia"/>
          <w:b/>
          <w:spacing w:val="0"/>
          <w:sz w:val="22"/>
          <w:szCs w:val="24"/>
          <w:rtl/>
        </w:rPr>
        <w:t>נ</w:t>
      </w:r>
      <w:r w:rsidRPr="002B5E47">
        <w:rPr>
          <w:rFonts w:ascii="Century" w:hAnsi="Century" w:cs="Miriam"/>
          <w:b/>
          <w:spacing w:val="0"/>
          <w:sz w:val="22"/>
          <w:szCs w:val="24"/>
          <w:rtl/>
        </w:rPr>
        <w:t xml:space="preserve">' </w:t>
      </w:r>
      <w:r w:rsidRPr="002B5E47">
        <w:rPr>
          <w:rFonts w:ascii="Century" w:hAnsi="Century" w:cs="Miriam" w:hint="eastAsia"/>
          <w:b/>
          <w:spacing w:val="0"/>
          <w:sz w:val="22"/>
          <w:szCs w:val="24"/>
          <w:rtl/>
        </w:rPr>
        <w:t>מדינת</w:t>
      </w:r>
      <w:r w:rsidRPr="002B5E47">
        <w:rPr>
          <w:rFonts w:ascii="Century" w:hAnsi="Century" w:cs="Miriam"/>
          <w:b/>
          <w:spacing w:val="0"/>
          <w:sz w:val="22"/>
          <w:szCs w:val="24"/>
          <w:rtl/>
        </w:rPr>
        <w:t xml:space="preserve"> </w:t>
      </w:r>
      <w:r w:rsidRPr="002B5E47">
        <w:rPr>
          <w:rFonts w:ascii="Century" w:hAnsi="Century" w:cs="Miriam" w:hint="eastAsia"/>
          <w:b/>
          <w:spacing w:val="0"/>
          <w:sz w:val="22"/>
          <w:szCs w:val="24"/>
          <w:rtl/>
        </w:rPr>
        <w:t>ישראל</w:t>
      </w:r>
      <w:r>
        <w:rPr>
          <w:rFonts w:hint="cs"/>
          <w:rtl/>
        </w:rPr>
        <w:t>, פסקה 8</w:t>
      </w:r>
      <w:r w:rsidRPr="002B5E47">
        <w:rPr>
          <w:rtl/>
        </w:rPr>
        <w:t xml:space="preserve"> (</w:t>
      </w:r>
      <w:r>
        <w:rPr>
          <w:rFonts w:hint="cs"/>
          <w:rtl/>
        </w:rPr>
        <w:t>3</w:t>
      </w:r>
      <w:r w:rsidRPr="002B5E47">
        <w:rPr>
          <w:rtl/>
        </w:rPr>
        <w:t>.</w:t>
      </w:r>
      <w:r>
        <w:rPr>
          <w:rFonts w:hint="cs"/>
          <w:rtl/>
        </w:rPr>
        <w:t>3</w:t>
      </w:r>
      <w:r w:rsidRPr="002B5E47">
        <w:rPr>
          <w:rtl/>
        </w:rPr>
        <w:t>.2020)</w:t>
      </w:r>
      <w:r>
        <w:rPr>
          <w:rFonts w:hint="cs"/>
          <w:rtl/>
        </w:rPr>
        <w:t xml:space="preserve">). במקרה דנן, התוודות המשיב בפני המדובב כי רצח את המנוחה, לצד הודאותיו ברצח אשר נמסרו לחוקריו במשטרה, שכאמור הצביעו על פרטים מוכמנים, עומדות במבחן זה בהצלחה מרובה. כדברי השופט </w:t>
      </w:r>
      <w:r w:rsidRPr="006D627C">
        <w:rPr>
          <w:rFonts w:ascii="Century" w:hAnsi="Century" w:cs="Miriam" w:hint="cs"/>
          <w:b/>
          <w:spacing w:val="0"/>
          <w:sz w:val="22"/>
          <w:szCs w:val="24"/>
          <w:rtl/>
        </w:rPr>
        <w:t>עמית</w:t>
      </w:r>
      <w:r>
        <w:rPr>
          <w:rFonts w:hint="cs"/>
          <w:rtl/>
        </w:rPr>
        <w:t xml:space="preserve"> בפסקה 106 </w:t>
      </w:r>
      <w:r>
        <w:rPr>
          <w:rFonts w:hint="cs"/>
          <w:rtl/>
        </w:rPr>
        <w:lastRenderedPageBreak/>
        <w:t>לפסק דינו ב</w:t>
      </w:r>
      <w:r w:rsidRPr="006D627C">
        <w:rPr>
          <w:rFonts w:hint="eastAsia"/>
          <w:rtl/>
        </w:rPr>
        <w:t>ע</w:t>
      </w:r>
      <w:r w:rsidRPr="006D627C">
        <w:rPr>
          <w:rtl/>
        </w:rPr>
        <w:t>"</w:t>
      </w:r>
      <w:r w:rsidRPr="006D627C">
        <w:rPr>
          <w:rFonts w:hint="eastAsia"/>
          <w:rtl/>
        </w:rPr>
        <w:t>פ</w:t>
      </w:r>
      <w:r w:rsidRPr="006D627C">
        <w:rPr>
          <w:rtl/>
        </w:rPr>
        <w:t xml:space="preserve"> 7939/10 </w:t>
      </w:r>
      <w:proofErr w:type="spellStart"/>
      <w:r w:rsidRPr="006D627C">
        <w:rPr>
          <w:rFonts w:ascii="Century" w:hAnsi="Century" w:cs="Miriam" w:hint="eastAsia"/>
          <w:b/>
          <w:spacing w:val="0"/>
          <w:sz w:val="22"/>
          <w:szCs w:val="24"/>
          <w:rtl/>
        </w:rPr>
        <w:t>זדורוב</w:t>
      </w:r>
      <w:proofErr w:type="spellEnd"/>
      <w:r w:rsidRPr="006D627C">
        <w:rPr>
          <w:rFonts w:ascii="Century" w:hAnsi="Century" w:cs="Miriam"/>
          <w:b/>
          <w:spacing w:val="0"/>
          <w:sz w:val="22"/>
          <w:szCs w:val="24"/>
          <w:rtl/>
        </w:rPr>
        <w:t xml:space="preserve"> </w:t>
      </w:r>
      <w:r w:rsidRPr="006D627C">
        <w:rPr>
          <w:rFonts w:ascii="Century" w:hAnsi="Century" w:cs="Miriam" w:hint="eastAsia"/>
          <w:b/>
          <w:spacing w:val="0"/>
          <w:sz w:val="22"/>
          <w:szCs w:val="24"/>
          <w:rtl/>
        </w:rPr>
        <w:t>נ</w:t>
      </w:r>
      <w:r w:rsidRPr="006D627C">
        <w:rPr>
          <w:rFonts w:ascii="Century" w:hAnsi="Century" w:cs="Miriam"/>
          <w:b/>
          <w:spacing w:val="0"/>
          <w:sz w:val="22"/>
          <w:szCs w:val="24"/>
          <w:rtl/>
        </w:rPr>
        <w:t xml:space="preserve">' </w:t>
      </w:r>
      <w:r w:rsidRPr="006D627C">
        <w:rPr>
          <w:rFonts w:ascii="Century" w:hAnsi="Century" w:cs="Miriam" w:hint="eastAsia"/>
          <w:b/>
          <w:spacing w:val="0"/>
          <w:sz w:val="22"/>
          <w:szCs w:val="24"/>
          <w:rtl/>
        </w:rPr>
        <w:t>מדינת</w:t>
      </w:r>
      <w:r w:rsidRPr="006D627C">
        <w:rPr>
          <w:rFonts w:ascii="Century" w:hAnsi="Century" w:cs="Miriam"/>
          <w:b/>
          <w:spacing w:val="0"/>
          <w:sz w:val="22"/>
          <w:szCs w:val="24"/>
          <w:rtl/>
        </w:rPr>
        <w:t xml:space="preserve"> </w:t>
      </w:r>
      <w:r w:rsidRPr="006D627C">
        <w:rPr>
          <w:rFonts w:ascii="Century" w:hAnsi="Century" w:cs="Miriam" w:hint="eastAsia"/>
          <w:b/>
          <w:spacing w:val="0"/>
          <w:sz w:val="22"/>
          <w:szCs w:val="24"/>
          <w:rtl/>
        </w:rPr>
        <w:t>ישראל</w:t>
      </w:r>
      <w:r w:rsidRPr="006D627C">
        <w:rPr>
          <w:rtl/>
        </w:rPr>
        <w:t xml:space="preserve"> (23.12.2015)</w:t>
      </w:r>
      <w:r>
        <w:rPr>
          <w:rFonts w:hint="cs"/>
          <w:rtl/>
        </w:rPr>
        <w:t>, ראיות אלו "</w:t>
      </w:r>
      <w:r w:rsidRPr="006D627C">
        <w:rPr>
          <w:rFonts w:hint="eastAsia"/>
          <w:rtl/>
        </w:rPr>
        <w:t>ניתן</w:t>
      </w:r>
      <w:r w:rsidRPr="006D627C">
        <w:rPr>
          <w:rtl/>
        </w:rPr>
        <w:t xml:space="preserve"> </w:t>
      </w:r>
      <w:r w:rsidRPr="006D627C">
        <w:rPr>
          <w:rFonts w:hint="eastAsia"/>
          <w:rtl/>
        </w:rPr>
        <w:t>לדמות</w:t>
      </w:r>
      <w:r w:rsidRPr="006D627C">
        <w:rPr>
          <w:rtl/>
        </w:rPr>
        <w:t xml:space="preserve"> </w:t>
      </w:r>
      <w:r w:rsidRPr="006D627C">
        <w:rPr>
          <w:rFonts w:hint="eastAsia"/>
          <w:rtl/>
        </w:rPr>
        <w:t>לפירמידה</w:t>
      </w:r>
      <w:r w:rsidRPr="006D627C">
        <w:rPr>
          <w:rtl/>
        </w:rPr>
        <w:t xml:space="preserve"> </w:t>
      </w:r>
      <w:r w:rsidRPr="006D627C">
        <w:rPr>
          <w:rFonts w:hint="eastAsia"/>
          <w:rtl/>
        </w:rPr>
        <w:t>שבסיסה</w:t>
      </w:r>
      <w:r w:rsidRPr="006D627C">
        <w:rPr>
          <w:rtl/>
        </w:rPr>
        <w:t xml:space="preserve"> </w:t>
      </w:r>
      <w:r w:rsidRPr="006D627C">
        <w:rPr>
          <w:rFonts w:hint="eastAsia"/>
          <w:rtl/>
        </w:rPr>
        <w:t>הוא</w:t>
      </w:r>
      <w:r w:rsidRPr="006D627C">
        <w:rPr>
          <w:rtl/>
        </w:rPr>
        <w:t xml:space="preserve"> </w:t>
      </w:r>
      <w:r w:rsidRPr="006D627C">
        <w:rPr>
          <w:rFonts w:hint="eastAsia"/>
          <w:rtl/>
        </w:rPr>
        <w:t>המשולש</w:t>
      </w:r>
      <w:r w:rsidRPr="006D627C">
        <w:rPr>
          <w:rtl/>
        </w:rPr>
        <w:t xml:space="preserve"> </w:t>
      </w:r>
      <w:r w:rsidRPr="006D627C">
        <w:rPr>
          <w:rFonts w:hint="eastAsia"/>
          <w:rtl/>
        </w:rPr>
        <w:t>של</w:t>
      </w:r>
      <w:r w:rsidRPr="006D627C">
        <w:rPr>
          <w:rtl/>
        </w:rPr>
        <w:t xml:space="preserve"> </w:t>
      </w:r>
      <w:r w:rsidRPr="006D627C">
        <w:rPr>
          <w:rFonts w:hint="eastAsia"/>
          <w:rtl/>
        </w:rPr>
        <w:t>התוודות</w:t>
      </w:r>
      <w:r w:rsidRPr="006D627C">
        <w:rPr>
          <w:rtl/>
        </w:rPr>
        <w:t>-</w:t>
      </w:r>
      <w:r w:rsidRPr="006D627C">
        <w:rPr>
          <w:rFonts w:hint="eastAsia"/>
          <w:rtl/>
        </w:rPr>
        <w:t>הודאה</w:t>
      </w:r>
      <w:r w:rsidRPr="006D627C">
        <w:rPr>
          <w:rtl/>
        </w:rPr>
        <w:t>-</w:t>
      </w:r>
      <w:r w:rsidRPr="006D627C">
        <w:rPr>
          <w:rFonts w:hint="eastAsia"/>
          <w:rtl/>
        </w:rPr>
        <w:t>שחזור</w:t>
      </w:r>
      <w:r w:rsidRPr="006D627C">
        <w:rPr>
          <w:rtl/>
        </w:rPr>
        <w:t xml:space="preserve">, </w:t>
      </w:r>
      <w:r w:rsidRPr="006D627C">
        <w:rPr>
          <w:rFonts w:hint="eastAsia"/>
          <w:rtl/>
        </w:rPr>
        <w:t>בסיס</w:t>
      </w:r>
      <w:r w:rsidRPr="006D627C">
        <w:rPr>
          <w:rtl/>
        </w:rPr>
        <w:t xml:space="preserve"> </w:t>
      </w:r>
      <w:r w:rsidRPr="006D627C">
        <w:rPr>
          <w:rFonts w:hint="eastAsia"/>
          <w:rtl/>
        </w:rPr>
        <w:t>שמעליו</w:t>
      </w:r>
      <w:r w:rsidRPr="006D627C">
        <w:rPr>
          <w:rtl/>
        </w:rPr>
        <w:t xml:space="preserve"> </w:t>
      </w:r>
      <w:r w:rsidRPr="006D627C">
        <w:rPr>
          <w:rFonts w:hint="eastAsia"/>
          <w:rtl/>
        </w:rPr>
        <w:t>נערמות</w:t>
      </w:r>
      <w:r w:rsidRPr="006D627C">
        <w:rPr>
          <w:rtl/>
        </w:rPr>
        <w:t xml:space="preserve"> </w:t>
      </w:r>
      <w:r w:rsidRPr="006D627C">
        <w:rPr>
          <w:rFonts w:hint="eastAsia"/>
          <w:rtl/>
        </w:rPr>
        <w:t>הראיות</w:t>
      </w:r>
      <w:r w:rsidRPr="006D627C">
        <w:rPr>
          <w:rtl/>
        </w:rPr>
        <w:t xml:space="preserve"> </w:t>
      </w:r>
      <w:r w:rsidRPr="006D627C">
        <w:rPr>
          <w:rFonts w:hint="eastAsia"/>
          <w:rtl/>
        </w:rPr>
        <w:t>האחרות</w:t>
      </w:r>
      <w:r>
        <w:rPr>
          <w:rFonts w:hint="cs"/>
          <w:rtl/>
        </w:rPr>
        <w:t xml:space="preserve">". </w:t>
      </w:r>
    </w:p>
    <w:p w:rsidR="003C5F47" w:rsidRPr="00683245" w:rsidRDefault="003C5F47" w:rsidP="003C5F47">
      <w:pPr>
        <w:pStyle w:val="Ruller41"/>
      </w:pPr>
    </w:p>
    <w:p w:rsidR="003C5F47" w:rsidRDefault="003C5F47" w:rsidP="003C5F47">
      <w:pPr>
        <w:pStyle w:val="Ruller4"/>
        <w:rPr>
          <w:rtl/>
        </w:rPr>
      </w:pPr>
      <w:r>
        <w:rPr>
          <w:rFonts w:hint="cs"/>
          <w:rtl/>
        </w:rPr>
        <w:t xml:space="preserve">בהקשר זה, מוסיפה המדינה וטוענת כי המשנה לנשיאה </w:t>
      </w:r>
      <w:r w:rsidRPr="00F1117B">
        <w:rPr>
          <w:rFonts w:ascii="Century" w:hAnsi="Century" w:cs="Miriam" w:hint="cs"/>
          <w:b/>
          <w:spacing w:val="0"/>
          <w:sz w:val="22"/>
          <w:szCs w:val="24"/>
          <w:rtl/>
        </w:rPr>
        <w:t>מלצר</w:t>
      </w:r>
      <w:r>
        <w:rPr>
          <w:rFonts w:hint="cs"/>
          <w:rtl/>
        </w:rPr>
        <w:t xml:space="preserve"> דאג להדגיש בהחלטתו בדבר המשפט החוזר כי זו ניתנה על ידיו רק לשם הסרת סימני השאלה אשר עלו בקשר לעקבות הנעליים הזרות, לדם המנוחה על אחת מעקבות אלה ולכתמי הדם של המנוחה שכאמור נמצאו בתא השירותים השלישי. המדינה סבורה כי החלטה זו הנמיכה את רף הכניסה המקובל לשערי המשפט החוזר, וגם מטעם זה אין להסיק ממנה כי חל כרסום משמעותי בראיות שניצבות לחובת המשיב. </w:t>
      </w:r>
    </w:p>
    <w:p w:rsidR="003C5F47" w:rsidRPr="00267BBD" w:rsidRDefault="003C5F47" w:rsidP="003C5F47">
      <w:pPr>
        <w:pStyle w:val="Ruller41"/>
      </w:pPr>
    </w:p>
    <w:p w:rsidR="003C5F47" w:rsidRDefault="003C5F47" w:rsidP="003C5F47">
      <w:pPr>
        <w:pStyle w:val="Ruller4"/>
        <w:rPr>
          <w:rtl/>
        </w:rPr>
      </w:pPr>
      <w:r>
        <w:rPr>
          <w:rFonts w:hint="cs"/>
          <w:rtl/>
        </w:rPr>
        <w:t xml:space="preserve">כמו כן התייחסה המדינה בטיעוניה להחלטת השופטת </w:t>
      </w:r>
      <w:proofErr w:type="spellStart"/>
      <w:r w:rsidRPr="00907A3D">
        <w:rPr>
          <w:rFonts w:ascii="Century" w:hAnsi="Century" w:cs="Miriam" w:hint="cs"/>
          <w:b/>
          <w:spacing w:val="0"/>
          <w:sz w:val="22"/>
          <w:szCs w:val="24"/>
          <w:rtl/>
        </w:rPr>
        <w:t>דורנר</w:t>
      </w:r>
      <w:proofErr w:type="spellEnd"/>
      <w:r>
        <w:rPr>
          <w:rFonts w:hint="cs"/>
          <w:rtl/>
        </w:rPr>
        <w:t xml:space="preserve"> בעניין </w:t>
      </w:r>
      <w:proofErr w:type="spellStart"/>
      <w:r w:rsidRPr="00907A3D">
        <w:rPr>
          <w:rFonts w:ascii="Century" w:hAnsi="Century" w:cs="Miriam" w:hint="cs"/>
          <w:b/>
          <w:spacing w:val="0"/>
          <w:sz w:val="22"/>
          <w:szCs w:val="24"/>
          <w:rtl/>
        </w:rPr>
        <w:t>קוזלי</w:t>
      </w:r>
      <w:proofErr w:type="spellEnd"/>
      <w:r>
        <w:rPr>
          <w:rFonts w:hint="cs"/>
          <w:rtl/>
        </w:rPr>
        <w:t xml:space="preserve"> ולהחלטה המקבילה, אשר ניתנה על ידי השופט המנוח </w:t>
      </w:r>
      <w:r w:rsidRPr="00907A3D">
        <w:rPr>
          <w:rFonts w:ascii="Century" w:hAnsi="Century" w:cs="Miriam" w:hint="cs"/>
          <w:b/>
          <w:spacing w:val="0"/>
          <w:sz w:val="22"/>
          <w:szCs w:val="24"/>
          <w:rtl/>
        </w:rPr>
        <w:t xml:space="preserve">א' א' לוי </w:t>
      </w:r>
      <w:r w:rsidRPr="00713BE6">
        <w:rPr>
          <w:rFonts w:ascii="Century" w:hAnsi="Century" w:hint="eastAsia"/>
          <w:sz w:val="22"/>
          <w:rtl/>
        </w:rPr>
        <w:t>ז</w:t>
      </w:r>
      <w:r w:rsidRPr="00713BE6">
        <w:rPr>
          <w:rFonts w:ascii="Century" w:hAnsi="Century"/>
          <w:sz w:val="22"/>
          <w:rtl/>
        </w:rPr>
        <w:t>"</w:t>
      </w:r>
      <w:r w:rsidRPr="00713BE6">
        <w:rPr>
          <w:rFonts w:ascii="Century" w:hAnsi="Century" w:hint="eastAsia"/>
          <w:sz w:val="22"/>
          <w:rtl/>
        </w:rPr>
        <w:t>ל</w:t>
      </w:r>
      <w:r w:rsidRPr="00713BE6">
        <w:rPr>
          <w:rFonts w:ascii="Century" w:hAnsi="Century"/>
          <w:sz w:val="22"/>
          <w:rtl/>
        </w:rPr>
        <w:t>,</w:t>
      </w:r>
      <w:r>
        <w:rPr>
          <w:rFonts w:hint="cs"/>
          <w:rtl/>
        </w:rPr>
        <w:t xml:space="preserve"> </w:t>
      </w:r>
      <w:proofErr w:type="spellStart"/>
      <w:r>
        <w:rPr>
          <w:rFonts w:hint="cs"/>
          <w:rtl/>
        </w:rPr>
        <w:t>בבש"פ</w:t>
      </w:r>
      <w:proofErr w:type="spellEnd"/>
      <w:r>
        <w:rPr>
          <w:rFonts w:hint="cs"/>
          <w:rtl/>
        </w:rPr>
        <w:t xml:space="preserve"> 8486/00 </w:t>
      </w:r>
      <w:proofErr w:type="spellStart"/>
      <w:r w:rsidRPr="00907A3D">
        <w:rPr>
          <w:rFonts w:ascii="Century" w:hAnsi="Century" w:cs="Miriam" w:hint="cs"/>
          <w:b/>
          <w:spacing w:val="0"/>
          <w:sz w:val="22"/>
          <w:szCs w:val="24"/>
          <w:rtl/>
        </w:rPr>
        <w:t>ג'נאמה</w:t>
      </w:r>
      <w:proofErr w:type="spellEnd"/>
      <w:r w:rsidRPr="00907A3D">
        <w:rPr>
          <w:rFonts w:ascii="Century" w:hAnsi="Century" w:cs="Miriam" w:hint="cs"/>
          <w:b/>
          <w:spacing w:val="0"/>
          <w:sz w:val="22"/>
          <w:szCs w:val="24"/>
          <w:rtl/>
        </w:rPr>
        <w:t xml:space="preserve"> נ' מדינת ישראל</w:t>
      </w:r>
      <w:r>
        <w:rPr>
          <w:rFonts w:hint="cs"/>
          <w:rtl/>
        </w:rPr>
        <w:t xml:space="preserve">, פ"ד נד(5) 293 (2000) (להלן: עניין </w:t>
      </w:r>
      <w:proofErr w:type="spellStart"/>
      <w:r w:rsidRPr="00267BBD">
        <w:rPr>
          <w:rFonts w:ascii="Century" w:hAnsi="Century" w:cs="Miriam" w:hint="cs"/>
          <w:b/>
          <w:spacing w:val="0"/>
          <w:sz w:val="22"/>
          <w:szCs w:val="24"/>
          <w:rtl/>
        </w:rPr>
        <w:t>ג'נאמה</w:t>
      </w:r>
      <w:proofErr w:type="spellEnd"/>
      <w:r>
        <w:rPr>
          <w:rFonts w:hint="cs"/>
          <w:rtl/>
        </w:rPr>
        <w:t xml:space="preserve">). בהחלטות אלה נקבע כי הכללים הרגילים בדבר מעצר עד תום ההליכים אינם ישימים, כמות שהם, במשפטו החוזר של נאשם אשר כבר נשא בעונש מאסר ממושך. המדינה סבורה כי אלה הן החלטות דן-יחיד שהיו יפות לנסיבותיהן ואינן בגדר הלכה מחייבת. המדינה ביקשתני אפוא שלא לפסוק בעררה על בסיס החלטות אלה, שלטעמה ממילא אינן מתאימות למקרה דנן. </w:t>
      </w:r>
    </w:p>
    <w:p w:rsidR="003C5F47" w:rsidRPr="00152DEE" w:rsidRDefault="003C5F47" w:rsidP="003C5F47">
      <w:pPr>
        <w:pStyle w:val="Ruller41"/>
      </w:pPr>
    </w:p>
    <w:p w:rsidR="003C5F47" w:rsidRDefault="003C5F47" w:rsidP="003C5F47">
      <w:pPr>
        <w:pStyle w:val="Ruller4"/>
        <w:rPr>
          <w:rtl/>
        </w:rPr>
      </w:pPr>
      <w:r>
        <w:rPr>
          <w:rFonts w:hint="cs"/>
          <w:rtl/>
        </w:rPr>
        <w:t xml:space="preserve">באשר למסוכנות הנשקפת מהמשיב </w:t>
      </w:r>
      <w:r>
        <w:rPr>
          <w:rtl/>
        </w:rPr>
        <w:t>–</w:t>
      </w:r>
      <w:r>
        <w:rPr>
          <w:rFonts w:hint="cs"/>
          <w:rtl/>
        </w:rPr>
        <w:t xml:space="preserve"> זו, לטענת המדינה, נמצאת ברף גבוה מאד. המדינה סבורה כי מעשה הרצח המזעזע שהמשיב ביצע, לטענתה, בילדה בת 13, מאומת כדבעי, ואף למעלה מכך, בחומר הראיות. המדינה סבורה כי מסוכנות המשיב כרוצח אכזר בעל דחפים אלימים בלתי נשלטים נגזרת ממעשה זה גופו. המדינה מוסיפה וטוענת כי בית משפט קמא שגה בהחליטו שלא להורות לשירות המבחן על הגשת תסקיר מעצר אשר יתייחס, בין היתר, למסוכנות הנשקפת מהמשיב. לשיטתה, בית המשפט כלל לא היה מוסמך להורות על העברת המשיב למעצר באזוק אלקטרוני מחוץ לכלא מבלי לזמן תסקיר מעצר בהתאם להוראה שקבע המחוקק בסעיף 22ג(ב)(1) לחוק המעצרים. </w:t>
      </w:r>
    </w:p>
    <w:p w:rsidR="003C5F47" w:rsidRPr="00621AFB" w:rsidRDefault="003C5F47" w:rsidP="003C5F47">
      <w:pPr>
        <w:pStyle w:val="Ruller41"/>
      </w:pPr>
    </w:p>
    <w:p w:rsidR="003C5F47" w:rsidRDefault="003C5F47" w:rsidP="003C5F47">
      <w:pPr>
        <w:pStyle w:val="Ruller4"/>
        <w:rPr>
          <w:rtl/>
        </w:rPr>
      </w:pPr>
      <w:r>
        <w:rPr>
          <w:rFonts w:hint="cs"/>
          <w:rtl/>
        </w:rPr>
        <w:t xml:space="preserve">בנסיבות אלה, המדינה מסכמת וטוענת כי "דינו של המשיב אחד הוא </w:t>
      </w:r>
      <w:r>
        <w:rPr>
          <w:rtl/>
        </w:rPr>
        <w:t>–</w:t>
      </w:r>
      <w:r>
        <w:rPr>
          <w:rFonts w:hint="cs"/>
          <w:rtl/>
        </w:rPr>
        <w:t xml:space="preserve"> להישאר במעצר מאחורי סורג ובריח במהלך ניהול המשפט החוזר". לטעמה, החלטת המשנה לנשיאה </w:t>
      </w:r>
      <w:r w:rsidRPr="00CF73BB">
        <w:rPr>
          <w:rFonts w:ascii="Century" w:hAnsi="Century" w:cs="Miriam" w:hint="cs"/>
          <w:b/>
          <w:spacing w:val="0"/>
          <w:sz w:val="22"/>
          <w:szCs w:val="24"/>
          <w:rtl/>
        </w:rPr>
        <w:t>מלצר</w:t>
      </w:r>
      <w:r>
        <w:rPr>
          <w:rFonts w:hint="cs"/>
          <w:rtl/>
        </w:rPr>
        <w:t xml:space="preserve"> בדבר המשפט החוזר רק הציבה כמה סימני שאלה לצד מארג הראיות אשר מוליך אל המסקנה כי המשיב </w:t>
      </w:r>
      <w:r>
        <w:rPr>
          <w:rtl/>
        </w:rPr>
        <w:t>–</w:t>
      </w:r>
      <w:r>
        <w:rPr>
          <w:rFonts w:hint="cs"/>
          <w:rtl/>
        </w:rPr>
        <w:t xml:space="preserve"> ולא אדם אחר </w:t>
      </w:r>
      <w:r>
        <w:rPr>
          <w:rtl/>
        </w:rPr>
        <w:t>–</w:t>
      </w:r>
      <w:r>
        <w:rPr>
          <w:rFonts w:hint="cs"/>
          <w:rtl/>
        </w:rPr>
        <w:t xml:space="preserve"> הוא זה שרצח את המנוחה. לשיטת </w:t>
      </w:r>
      <w:r>
        <w:rPr>
          <w:rFonts w:hint="cs"/>
          <w:rtl/>
        </w:rPr>
        <w:lastRenderedPageBreak/>
        <w:t xml:space="preserve">המדינה, סימני שאלה אלו אינם מפחיתים באופן משמעותי מעוצמת הראיות אשר מזהות את המשיב כרוצח. </w:t>
      </w:r>
    </w:p>
    <w:p w:rsidR="003C5F47" w:rsidRPr="00760675" w:rsidRDefault="003C5F47" w:rsidP="003C5F47">
      <w:pPr>
        <w:pStyle w:val="Ruller41"/>
      </w:pPr>
    </w:p>
    <w:p w:rsidR="003C5F47" w:rsidRDefault="003C5F47" w:rsidP="003C5F47">
      <w:pPr>
        <w:pStyle w:val="Ruller4"/>
        <w:rPr>
          <w:rtl/>
        </w:rPr>
      </w:pPr>
      <w:r>
        <w:rPr>
          <w:rFonts w:hint="cs"/>
          <w:rtl/>
        </w:rPr>
        <w:t xml:space="preserve">מנגד, טוען המשיב כי לא בסימני שאלה </w:t>
      </w:r>
      <w:proofErr w:type="spellStart"/>
      <w:r>
        <w:rPr>
          <w:rFonts w:hint="cs"/>
          <w:rtl/>
        </w:rPr>
        <w:t>קא</w:t>
      </w:r>
      <w:proofErr w:type="spellEnd"/>
      <w:r>
        <w:rPr>
          <w:rFonts w:hint="cs"/>
          <w:rtl/>
        </w:rPr>
        <w:t xml:space="preserve"> עסקינן, אלא דווקא בסימני קריאה אשר ניצבים לצד הראיות שמצביעות על חפותו, ובראשן </w:t>
      </w:r>
      <w:r w:rsidRPr="00760675">
        <w:rPr>
          <w:rFonts w:hint="eastAsia"/>
          <w:rtl/>
        </w:rPr>
        <w:t>עקבות</w:t>
      </w:r>
      <w:r w:rsidRPr="00760675">
        <w:rPr>
          <w:rtl/>
        </w:rPr>
        <w:t xml:space="preserve"> </w:t>
      </w:r>
      <w:r w:rsidRPr="00760675">
        <w:rPr>
          <w:rFonts w:hint="eastAsia"/>
          <w:rtl/>
        </w:rPr>
        <w:t>הנעליים</w:t>
      </w:r>
      <w:r w:rsidRPr="00760675">
        <w:rPr>
          <w:rtl/>
        </w:rPr>
        <w:t xml:space="preserve"> </w:t>
      </w:r>
      <w:r w:rsidRPr="00760675">
        <w:rPr>
          <w:rFonts w:hint="eastAsia"/>
          <w:rtl/>
        </w:rPr>
        <w:t>הזרות</w:t>
      </w:r>
      <w:r w:rsidRPr="00760675">
        <w:rPr>
          <w:rtl/>
        </w:rPr>
        <w:t xml:space="preserve"> </w:t>
      </w:r>
      <w:r>
        <w:rPr>
          <w:rFonts w:hint="cs"/>
          <w:rtl/>
        </w:rPr>
        <w:t xml:space="preserve">אשר נמצאו </w:t>
      </w:r>
      <w:r w:rsidRPr="00760675">
        <w:rPr>
          <w:rFonts w:hint="eastAsia"/>
          <w:rtl/>
        </w:rPr>
        <w:t>בתא</w:t>
      </w:r>
      <w:r w:rsidRPr="00760675">
        <w:rPr>
          <w:rtl/>
        </w:rPr>
        <w:t xml:space="preserve"> </w:t>
      </w:r>
      <w:r w:rsidRPr="00760675">
        <w:rPr>
          <w:rFonts w:hint="eastAsia"/>
          <w:rtl/>
        </w:rPr>
        <w:t>השירותים</w:t>
      </w:r>
      <w:r w:rsidRPr="00760675">
        <w:rPr>
          <w:rtl/>
        </w:rPr>
        <w:t xml:space="preserve"> </w:t>
      </w:r>
      <w:r w:rsidRPr="00760675">
        <w:rPr>
          <w:rFonts w:hint="eastAsia"/>
          <w:rtl/>
        </w:rPr>
        <w:t>ב</w:t>
      </w:r>
      <w:r>
        <w:rPr>
          <w:rFonts w:hint="cs"/>
          <w:rtl/>
        </w:rPr>
        <w:t>ו</w:t>
      </w:r>
      <w:r w:rsidRPr="00760675">
        <w:rPr>
          <w:rtl/>
        </w:rPr>
        <w:t xml:space="preserve"> </w:t>
      </w:r>
      <w:r w:rsidRPr="00760675">
        <w:rPr>
          <w:rFonts w:hint="eastAsia"/>
          <w:rtl/>
        </w:rPr>
        <w:t>מצאה</w:t>
      </w:r>
      <w:r w:rsidRPr="00760675">
        <w:rPr>
          <w:rtl/>
        </w:rPr>
        <w:t xml:space="preserve"> </w:t>
      </w:r>
      <w:r w:rsidRPr="00760675">
        <w:rPr>
          <w:rFonts w:hint="eastAsia"/>
          <w:rtl/>
        </w:rPr>
        <w:t>המנוחה</w:t>
      </w:r>
      <w:r w:rsidRPr="00760675">
        <w:rPr>
          <w:rtl/>
        </w:rPr>
        <w:t xml:space="preserve"> </w:t>
      </w:r>
      <w:r w:rsidRPr="00760675">
        <w:rPr>
          <w:rFonts w:hint="eastAsia"/>
          <w:rtl/>
        </w:rPr>
        <w:t>את</w:t>
      </w:r>
      <w:r w:rsidRPr="00760675">
        <w:rPr>
          <w:rtl/>
        </w:rPr>
        <w:t xml:space="preserve"> </w:t>
      </w:r>
      <w:r w:rsidRPr="00760675">
        <w:rPr>
          <w:rFonts w:hint="eastAsia"/>
          <w:rtl/>
        </w:rPr>
        <w:t>מותה</w:t>
      </w:r>
      <w:r>
        <w:rPr>
          <w:rFonts w:hint="cs"/>
          <w:rtl/>
        </w:rPr>
        <w:t xml:space="preserve">, כשעל אחת מהן דם המנוחה. לטענת המשיב, לאחר שידענו כי המחלצים והפרמדיקים הגיעו לתא השירותים רק בחלוף כחמש שעות לאחר הרצח, ואחרי שלמדנו מפי המומחים כי משך זליגת הדם מגופה של המנוחה היה קצר מכך בהרבה </w:t>
      </w:r>
      <w:r>
        <w:rPr>
          <w:rtl/>
        </w:rPr>
        <w:t>–</w:t>
      </w:r>
      <w:r>
        <w:rPr>
          <w:rFonts w:hint="cs"/>
          <w:rtl/>
        </w:rPr>
        <w:t xml:space="preserve"> על כורחנו מגיעים אנו למסקנה כי עקבות הנעליים הזרות שייכות לרוצח </w:t>
      </w:r>
      <w:proofErr w:type="spellStart"/>
      <w:r>
        <w:rPr>
          <w:rFonts w:hint="cs"/>
          <w:rtl/>
        </w:rPr>
        <w:t>האמיתי</w:t>
      </w:r>
      <w:proofErr w:type="spellEnd"/>
      <w:r>
        <w:rPr>
          <w:rFonts w:hint="cs"/>
          <w:rtl/>
        </w:rPr>
        <w:t>, ועל כן המשיב אינו הרוצח.</w:t>
      </w:r>
    </w:p>
    <w:p w:rsidR="003C5F47" w:rsidRPr="0075557D" w:rsidRDefault="003C5F47" w:rsidP="003C5F47">
      <w:pPr>
        <w:pStyle w:val="Ruller41"/>
      </w:pPr>
    </w:p>
    <w:p w:rsidR="003C5F47" w:rsidRDefault="003C5F47" w:rsidP="003C5F47">
      <w:pPr>
        <w:pStyle w:val="Ruller4"/>
        <w:rPr>
          <w:rtl/>
        </w:rPr>
      </w:pPr>
      <w:r>
        <w:rPr>
          <w:rFonts w:hint="cs"/>
          <w:rtl/>
        </w:rPr>
        <w:t xml:space="preserve">בהתאמה לקו טיעון זה, ממשיך המשיב וטוען כי מסוכנותו כלל לא הוכחה והתנהלותו בכלא במשך כ-15 שנה מצביעה על היותו שומר חוק וסדר ונטול דחפים אלימים. לדברי המשיב, הוא חפץ לחזור לחיק משפחתו בקצרין. כמו כן טוען המשיב, כי אין לו רצון ויכולת לברוח מהמדינה </w:t>
      </w:r>
      <w:r>
        <w:rPr>
          <w:rtl/>
        </w:rPr>
        <w:t>–</w:t>
      </w:r>
      <w:r>
        <w:rPr>
          <w:rFonts w:hint="cs"/>
          <w:rtl/>
        </w:rPr>
        <w:t xml:space="preserve"> מה גם שמעצרו באזוק אלקטרוני בתנאים שקבע בית משפט קמא ממילא שולל ממנו כל אפשרות מעשית להימלט מאימת הדין או לשבש את מהלכי משפטו. </w:t>
      </w:r>
    </w:p>
    <w:p w:rsidR="003C5F47" w:rsidRPr="00267BBD" w:rsidRDefault="003C5F47" w:rsidP="003C5F47">
      <w:pPr>
        <w:pStyle w:val="Ruller41"/>
      </w:pPr>
    </w:p>
    <w:p w:rsidR="003C5F47" w:rsidRDefault="003C5F47" w:rsidP="003C5F47">
      <w:pPr>
        <w:pStyle w:val="Ruller4"/>
        <w:rPr>
          <w:rtl/>
        </w:rPr>
      </w:pPr>
      <w:r>
        <w:rPr>
          <w:rFonts w:hint="cs"/>
          <w:rtl/>
        </w:rPr>
        <w:t xml:space="preserve">המשיב גם מפנה להחלטתה של השופטת </w:t>
      </w:r>
      <w:proofErr w:type="spellStart"/>
      <w:r w:rsidRPr="007E3E43">
        <w:rPr>
          <w:rFonts w:ascii="Century" w:hAnsi="Century" w:cs="Miriam" w:hint="cs"/>
          <w:b/>
          <w:spacing w:val="0"/>
          <w:sz w:val="22"/>
          <w:szCs w:val="24"/>
          <w:rtl/>
        </w:rPr>
        <w:t>דורנר</w:t>
      </w:r>
      <w:proofErr w:type="spellEnd"/>
      <w:r>
        <w:rPr>
          <w:rFonts w:hint="cs"/>
          <w:rtl/>
        </w:rPr>
        <w:t xml:space="preserve"> בעניין </w:t>
      </w:r>
      <w:proofErr w:type="spellStart"/>
      <w:r w:rsidRPr="00446DEA">
        <w:rPr>
          <w:rFonts w:ascii="Century" w:hAnsi="Century" w:cs="Miriam" w:hint="cs"/>
          <w:b/>
          <w:spacing w:val="0"/>
          <w:sz w:val="22"/>
          <w:szCs w:val="24"/>
          <w:rtl/>
        </w:rPr>
        <w:t>קוזלי</w:t>
      </w:r>
      <w:proofErr w:type="spellEnd"/>
      <w:r>
        <w:rPr>
          <w:rFonts w:hint="cs"/>
          <w:rtl/>
        </w:rPr>
        <w:t xml:space="preserve"> ולהחלטת השופט </w:t>
      </w:r>
      <w:r w:rsidRPr="007E3E43">
        <w:rPr>
          <w:rFonts w:ascii="Century" w:hAnsi="Century" w:cs="Miriam" w:hint="cs"/>
          <w:b/>
          <w:spacing w:val="0"/>
          <w:sz w:val="22"/>
          <w:szCs w:val="24"/>
          <w:rtl/>
        </w:rPr>
        <w:t>לוי</w:t>
      </w:r>
      <w:r>
        <w:rPr>
          <w:rFonts w:hint="cs"/>
          <w:rtl/>
        </w:rPr>
        <w:t xml:space="preserve"> בעניין </w:t>
      </w:r>
      <w:proofErr w:type="spellStart"/>
      <w:r w:rsidRPr="00267BBD">
        <w:rPr>
          <w:rFonts w:ascii="Century" w:hAnsi="Century" w:cs="Miriam" w:hint="cs"/>
          <w:b/>
          <w:spacing w:val="0"/>
          <w:sz w:val="22"/>
          <w:szCs w:val="24"/>
          <w:rtl/>
        </w:rPr>
        <w:t>ג'נאמה</w:t>
      </w:r>
      <w:proofErr w:type="spellEnd"/>
      <w:r>
        <w:rPr>
          <w:rFonts w:ascii="Century" w:hAnsi="Century" w:hint="cs"/>
          <w:sz w:val="22"/>
          <w:rtl/>
        </w:rPr>
        <w:t>. לטענתו, האמור בהחלטות אלה תומך בבירור בהעברתו למעצר באזוק אלקטרוני בתנאים שנקבעו על ידי בית משפט קמא.</w:t>
      </w:r>
    </w:p>
    <w:p w:rsidR="003C5F47" w:rsidRPr="0075557D" w:rsidRDefault="003C5F47" w:rsidP="003C5F47">
      <w:pPr>
        <w:pStyle w:val="Ruller41"/>
      </w:pPr>
    </w:p>
    <w:p w:rsidR="003C5F47" w:rsidRDefault="003C5F47" w:rsidP="003C5F47">
      <w:pPr>
        <w:pStyle w:val="Ruller4"/>
        <w:rPr>
          <w:rtl/>
        </w:rPr>
      </w:pPr>
      <w:r>
        <w:rPr>
          <w:rFonts w:hint="cs"/>
          <w:rtl/>
        </w:rPr>
        <w:t xml:space="preserve">לסיכום, סומך המשיב את ידיו על ההחלטה קמא, תוך שהוא מוסיף ומבהיר כי נסיבותיו החריגות, כמתואר לעיל, פטרו את בית משפט קמא מלהיזקק בעניינו לתסקיר מעצר. </w:t>
      </w:r>
    </w:p>
    <w:p w:rsidR="003C5F47" w:rsidRDefault="003C5F47" w:rsidP="003C5F47">
      <w:pPr>
        <w:pStyle w:val="Ruller41"/>
        <w:rPr>
          <w:rtl/>
        </w:rPr>
      </w:pPr>
    </w:p>
    <w:p w:rsidR="003C5F47" w:rsidRPr="003313A6" w:rsidRDefault="003C5F47" w:rsidP="003C5F47">
      <w:pPr>
        <w:pStyle w:val="Ruller41"/>
        <w:rPr>
          <w:rFonts w:ascii="Century" w:hAnsi="Century" w:cs="Miriam"/>
          <w:b/>
          <w:spacing w:val="0"/>
          <w:szCs w:val="24"/>
          <w:rtl/>
        </w:rPr>
      </w:pPr>
      <w:r w:rsidRPr="003313A6">
        <w:rPr>
          <w:rFonts w:ascii="Century" w:hAnsi="Century" w:cs="Miriam" w:hint="cs"/>
          <w:b/>
          <w:spacing w:val="0"/>
          <w:szCs w:val="24"/>
          <w:rtl/>
        </w:rPr>
        <w:t>דיון והכרעה</w:t>
      </w:r>
    </w:p>
    <w:p w:rsidR="003C5F47" w:rsidRPr="003313A6" w:rsidRDefault="003C5F47" w:rsidP="003C5F47">
      <w:pPr>
        <w:pStyle w:val="Ruller41"/>
      </w:pPr>
    </w:p>
    <w:p w:rsidR="003C5F47" w:rsidRDefault="003C5F47" w:rsidP="003C5F47">
      <w:pPr>
        <w:pStyle w:val="Ruller4"/>
      </w:pPr>
      <w:r>
        <w:rPr>
          <w:rFonts w:hint="cs"/>
          <w:rtl/>
        </w:rPr>
        <w:t xml:space="preserve">הדיון בערר יתחלק לארבעה פרקים. תחילה, אגדיר את השדה המשפטי של מעצר עד תום ההליכים וחלופותיו בגדרו של משפט חוזר אשר נערך לנאשם שהרשעתו בוטלה. בפרק זה אדון בהשלכות ההחלטה בדבר קיומו של משפט חוזר על התשתית הראייתית שעל בסיסה נעצר הנאשם עד תום ההליכים, ובמסגרת זו אתייחס לשאלה האם </w:t>
      </w:r>
      <w:r>
        <w:rPr>
          <w:rtl/>
        </w:rPr>
        <w:t>–</w:t>
      </w:r>
      <w:r>
        <w:rPr>
          <w:rFonts w:hint="cs"/>
          <w:rtl/>
        </w:rPr>
        <w:t xml:space="preserve"> לכאורה </w:t>
      </w:r>
      <w:r>
        <w:rPr>
          <w:rtl/>
        </w:rPr>
        <w:t>–</w:t>
      </w:r>
      <w:r>
        <w:rPr>
          <w:rFonts w:hint="cs"/>
          <w:rtl/>
        </w:rPr>
        <w:t xml:space="preserve"> חל כרסום משמעותי בראיות שתומכות באישום ברצח אשר עומד נגד המשיב. בפרק </w:t>
      </w:r>
      <w:r>
        <w:rPr>
          <w:rFonts w:hint="cs"/>
          <w:rtl/>
        </w:rPr>
        <w:lastRenderedPageBreak/>
        <w:t xml:space="preserve">השני, אדון בהשלכותיו של ביטול הרשעה על העילות למעצרו של נאשם אשר עומד לדין בשנית במסגרתו של משפט חוזר. בפרק השלישי, אבחן את המסוכנות הנשקפת מהמשיב כמי שעלול לנצל את שחרורו מן הכלא כדי לבצע מעשה אלימות קיצוני, כדוגמת הרצח שהלה לכאורה ביצע, להימלט מהדין או לשבש את מהלכי משפטו. אל מול חשש כאמור אעמיד את התוצאה הקשה של כליאת שווא, אשר תיגרם אם המשיב יזוכה בסופו של המשפט החוזר. בפרק הרביעי והאחרון, אבדוק אם ההחלטה קמא יוצרת איזון נכון בין שני אלו והאם יש מקום לתקנה.  </w:t>
      </w:r>
    </w:p>
    <w:p w:rsidR="003C5F47" w:rsidRPr="00446DEA" w:rsidRDefault="003C5F47" w:rsidP="003C5F47">
      <w:pPr>
        <w:pStyle w:val="Ruller41"/>
      </w:pPr>
    </w:p>
    <w:p w:rsidR="003C5F47" w:rsidRDefault="003C5F47" w:rsidP="003C5F47">
      <w:pPr>
        <w:pStyle w:val="Ruller4"/>
        <w:rPr>
          <w:rtl/>
        </w:rPr>
      </w:pPr>
      <w:r>
        <w:rPr>
          <w:rFonts w:hint="cs"/>
          <w:rtl/>
        </w:rPr>
        <w:t xml:space="preserve">אקדים ואומר, כי לאחר שעיינתי בחומר הרב אשר הונח לפניי ושקלתי את טענות הצדדים </w:t>
      </w:r>
      <w:r>
        <w:rPr>
          <w:rtl/>
        </w:rPr>
        <w:t>–</w:t>
      </w:r>
      <w:r>
        <w:rPr>
          <w:rFonts w:hint="cs"/>
          <w:rtl/>
        </w:rPr>
        <w:t xml:space="preserve"> אלו שנטענו בעל-פה, ואלו שבכתובים </w:t>
      </w:r>
      <w:r>
        <w:rPr>
          <w:rtl/>
        </w:rPr>
        <w:t>–</w:t>
      </w:r>
      <w:r>
        <w:rPr>
          <w:rFonts w:hint="cs"/>
          <w:rtl/>
        </w:rPr>
        <w:t xml:space="preserve"> הגעתי למסקנה כי בכפוף להידוק התנאים המגבילים כמצוין להלן, דין הערר להידחות. </w:t>
      </w:r>
    </w:p>
    <w:p w:rsidR="003C5F47" w:rsidRDefault="003C5F47" w:rsidP="003C5F47">
      <w:pPr>
        <w:pStyle w:val="Ruller41"/>
        <w:rPr>
          <w:rtl/>
        </w:rPr>
      </w:pPr>
    </w:p>
    <w:p w:rsidR="003C5F47" w:rsidRPr="00C46170" w:rsidRDefault="003C5F47" w:rsidP="003C5F47">
      <w:pPr>
        <w:pStyle w:val="Ruller4"/>
        <w:numPr>
          <w:ilvl w:val="0"/>
          <w:numId w:val="0"/>
        </w:numPr>
        <w:rPr>
          <w:rFonts w:ascii="Century" w:hAnsi="Century" w:cs="Miriam"/>
          <w:b/>
          <w:spacing w:val="0"/>
          <w:szCs w:val="24"/>
        </w:rPr>
      </w:pPr>
      <w:r w:rsidRPr="00C46170">
        <w:rPr>
          <w:rFonts w:ascii="Century" w:hAnsi="Century" w:cs="Miriam" w:hint="cs"/>
          <w:b/>
          <w:spacing w:val="0"/>
          <w:szCs w:val="24"/>
          <w:rtl/>
        </w:rPr>
        <w:t xml:space="preserve">השלכות ההחלטה בדבר ביטול הרשעת </w:t>
      </w:r>
      <w:r>
        <w:rPr>
          <w:rFonts w:ascii="Century" w:hAnsi="Century" w:cs="Miriam" w:hint="cs"/>
          <w:b/>
          <w:spacing w:val="0"/>
          <w:szCs w:val="24"/>
          <w:rtl/>
        </w:rPr>
        <w:t>הנאשם</w:t>
      </w:r>
      <w:r w:rsidRPr="00C46170">
        <w:rPr>
          <w:rFonts w:ascii="Century" w:hAnsi="Century" w:cs="Miriam" w:hint="cs"/>
          <w:b/>
          <w:spacing w:val="0"/>
          <w:szCs w:val="24"/>
          <w:rtl/>
        </w:rPr>
        <w:t xml:space="preserve"> וקיומו של משפט חוזר בעניינו על חומר הראיות </w:t>
      </w:r>
    </w:p>
    <w:p w:rsidR="003C5F47" w:rsidRPr="00FC48E2" w:rsidRDefault="003C5F47" w:rsidP="003C5F47">
      <w:pPr>
        <w:pStyle w:val="Ruller41"/>
        <w:ind w:left="720"/>
        <w:rPr>
          <w:rFonts w:ascii="Century" w:hAnsi="Century" w:cs="Miriam"/>
          <w:b/>
          <w:spacing w:val="0"/>
          <w:szCs w:val="24"/>
        </w:rPr>
      </w:pPr>
    </w:p>
    <w:p w:rsidR="003C5F47" w:rsidRDefault="003C5F47" w:rsidP="003C5F47">
      <w:pPr>
        <w:pStyle w:val="Ruller4"/>
        <w:rPr>
          <w:rtl/>
        </w:rPr>
      </w:pPr>
      <w:r>
        <w:rPr>
          <w:rFonts w:hint="cs"/>
          <w:rtl/>
        </w:rPr>
        <w:t xml:space="preserve">הוראותיו של חוק המעצרים שעניינן מעצר עד תום ההליכים עוסקות במצב הדברים הרגיל בו מדובר בנאשם שמשפטו הוא משפט ראשון בגין העבירה המיוחסת לו. כך הוא גם לגבי הלכת </w:t>
      </w:r>
      <w:proofErr w:type="spellStart"/>
      <w:r w:rsidRPr="006E4474">
        <w:rPr>
          <w:rFonts w:ascii="Century" w:hAnsi="Century" w:cs="Miriam" w:hint="cs"/>
          <w:b/>
          <w:spacing w:val="0"/>
          <w:sz w:val="22"/>
          <w:szCs w:val="24"/>
          <w:rtl/>
        </w:rPr>
        <w:t>זאדה</w:t>
      </w:r>
      <w:proofErr w:type="spellEnd"/>
      <w:r>
        <w:rPr>
          <w:rFonts w:hint="cs"/>
          <w:rtl/>
        </w:rPr>
        <w:t xml:space="preserve">, אשר פירשה, כפי שפירשה, את הדרישה לראיות לכאורה כבסיס להחלטתו של בית משפט לעצור נאשם עד תום ההליכים חרף חזקת החפות העומדת לזכותו. מדובר במסכת כללית של דיני המעצר שאינה מתייחסת </w:t>
      </w:r>
      <w:r>
        <w:rPr>
          <w:rtl/>
        </w:rPr>
        <w:t>–</w:t>
      </w:r>
      <w:r>
        <w:rPr>
          <w:rFonts w:hint="cs"/>
          <w:rtl/>
        </w:rPr>
        <w:t xml:space="preserve"> במפורש או במשתמע </w:t>
      </w:r>
      <w:r>
        <w:rPr>
          <w:rtl/>
        </w:rPr>
        <w:t>–</w:t>
      </w:r>
      <w:r>
        <w:rPr>
          <w:rFonts w:hint="cs"/>
          <w:rtl/>
        </w:rPr>
        <w:t xml:space="preserve"> למעצר עד תום ההליכים במשפט חוזר אשר נערך בעקבות ביטול הרשעתו של נאשם על בסיס אחת העילות המנויות בסעיף 31 לחוק בתי המשפט. אשר על כן, הנני מצוּוה להתאים את הדין הכללי שעניינו מעצר עד תום משפטו של נאשם לתנאיו של משפט חוזר, כפי שלימדתנו השופטת </w:t>
      </w:r>
      <w:proofErr w:type="spellStart"/>
      <w:r w:rsidRPr="002C6F97">
        <w:rPr>
          <w:rFonts w:ascii="Century" w:hAnsi="Century" w:cs="Miriam" w:hint="cs"/>
          <w:b/>
          <w:spacing w:val="0"/>
          <w:sz w:val="22"/>
          <w:szCs w:val="24"/>
          <w:rtl/>
        </w:rPr>
        <w:t>דורנר</w:t>
      </w:r>
      <w:proofErr w:type="spellEnd"/>
      <w:r>
        <w:rPr>
          <w:rFonts w:hint="cs"/>
          <w:rtl/>
        </w:rPr>
        <w:t xml:space="preserve"> בעניין </w:t>
      </w:r>
      <w:proofErr w:type="spellStart"/>
      <w:r w:rsidRPr="002C6F97">
        <w:rPr>
          <w:rFonts w:ascii="Century" w:hAnsi="Century" w:cs="Miriam" w:hint="cs"/>
          <w:b/>
          <w:spacing w:val="0"/>
          <w:sz w:val="22"/>
          <w:szCs w:val="24"/>
          <w:rtl/>
        </w:rPr>
        <w:t>קוזלי</w:t>
      </w:r>
      <w:proofErr w:type="spellEnd"/>
      <w:r>
        <w:rPr>
          <w:rFonts w:hint="cs"/>
          <w:rtl/>
        </w:rPr>
        <w:t xml:space="preserve"> (ראו: שם, בעמ' 562-560). המדינה טענה, כאמור, כי החלטת השופטת </w:t>
      </w:r>
      <w:proofErr w:type="spellStart"/>
      <w:r w:rsidRPr="002C6F97">
        <w:rPr>
          <w:rFonts w:ascii="Century" w:hAnsi="Century" w:cs="Miriam" w:hint="cs"/>
          <w:b/>
          <w:spacing w:val="0"/>
          <w:sz w:val="22"/>
          <w:szCs w:val="24"/>
          <w:rtl/>
        </w:rPr>
        <w:t>דורנר</w:t>
      </w:r>
      <w:proofErr w:type="spellEnd"/>
      <w:r>
        <w:rPr>
          <w:rFonts w:hint="cs"/>
          <w:rtl/>
        </w:rPr>
        <w:t xml:space="preserve"> בעניין </w:t>
      </w:r>
      <w:proofErr w:type="spellStart"/>
      <w:r w:rsidRPr="002C6F97">
        <w:rPr>
          <w:rFonts w:ascii="Century" w:hAnsi="Century" w:cs="Miriam" w:hint="cs"/>
          <w:b/>
          <w:spacing w:val="0"/>
          <w:sz w:val="22"/>
          <w:szCs w:val="24"/>
          <w:rtl/>
        </w:rPr>
        <w:t>קוזלי</w:t>
      </w:r>
      <w:proofErr w:type="spellEnd"/>
      <w:r>
        <w:rPr>
          <w:rFonts w:hint="cs"/>
          <w:rtl/>
        </w:rPr>
        <w:t xml:space="preserve"> היא החלטת דן-יחיד שאינה בגדר תקדים מחייב, ועם טענה זו אני מסכים. דא עקא, לאחר שבחנתי החלטה זו לעומק, החלטתי לאמצה לא בשל היותה תקדים מחייב, אלא בזכות היותה החלטה נכונה. ברי הוא, לטעמי, כי הלכת </w:t>
      </w:r>
      <w:proofErr w:type="spellStart"/>
      <w:r w:rsidRPr="00903974">
        <w:rPr>
          <w:rFonts w:ascii="Century" w:hAnsi="Century" w:cs="Miriam" w:hint="cs"/>
          <w:b/>
          <w:spacing w:val="0"/>
          <w:sz w:val="22"/>
          <w:szCs w:val="24"/>
          <w:rtl/>
        </w:rPr>
        <w:t>זאדה</w:t>
      </w:r>
      <w:proofErr w:type="spellEnd"/>
      <w:r>
        <w:rPr>
          <w:rFonts w:hint="cs"/>
          <w:rtl/>
        </w:rPr>
        <w:t xml:space="preserve"> וכללי הכרסום הראייתי שנקבעו בצדה (ראו, למשל: </w:t>
      </w:r>
      <w:proofErr w:type="spellStart"/>
      <w:r w:rsidRPr="00A36FD0">
        <w:rPr>
          <w:rFonts w:hint="eastAsia"/>
          <w:rtl/>
        </w:rPr>
        <w:t>בש</w:t>
      </w:r>
      <w:r w:rsidRPr="00A36FD0">
        <w:rPr>
          <w:rtl/>
        </w:rPr>
        <w:t>"</w:t>
      </w:r>
      <w:r w:rsidRPr="00A36FD0">
        <w:rPr>
          <w:rFonts w:hint="eastAsia"/>
          <w:rtl/>
        </w:rPr>
        <w:t>פ</w:t>
      </w:r>
      <w:proofErr w:type="spellEnd"/>
      <w:r w:rsidRPr="00A36FD0">
        <w:rPr>
          <w:rtl/>
        </w:rPr>
        <w:t xml:space="preserve"> 825/98 </w:t>
      </w:r>
      <w:r w:rsidRPr="00A36FD0">
        <w:rPr>
          <w:rFonts w:ascii="Century" w:hAnsi="Century" w:cs="Miriam" w:hint="eastAsia"/>
          <w:b/>
          <w:spacing w:val="0"/>
          <w:sz w:val="22"/>
          <w:szCs w:val="24"/>
          <w:rtl/>
        </w:rPr>
        <w:t>מדינת</w:t>
      </w:r>
      <w:r w:rsidRPr="00A36FD0">
        <w:rPr>
          <w:rFonts w:ascii="Century" w:hAnsi="Century" w:cs="Miriam"/>
          <w:b/>
          <w:spacing w:val="0"/>
          <w:sz w:val="22"/>
          <w:szCs w:val="24"/>
          <w:rtl/>
        </w:rPr>
        <w:t xml:space="preserve"> </w:t>
      </w:r>
      <w:r w:rsidRPr="00A36FD0">
        <w:rPr>
          <w:rFonts w:ascii="Century" w:hAnsi="Century" w:cs="Miriam" w:hint="eastAsia"/>
          <w:b/>
          <w:spacing w:val="0"/>
          <w:sz w:val="22"/>
          <w:szCs w:val="24"/>
          <w:rtl/>
        </w:rPr>
        <w:t>ישראל</w:t>
      </w:r>
      <w:r w:rsidRPr="00A36FD0">
        <w:rPr>
          <w:rFonts w:ascii="Century" w:hAnsi="Century" w:cs="Miriam"/>
          <w:b/>
          <w:spacing w:val="0"/>
          <w:sz w:val="22"/>
          <w:szCs w:val="24"/>
          <w:rtl/>
        </w:rPr>
        <w:t xml:space="preserve"> </w:t>
      </w:r>
      <w:r w:rsidRPr="00A36FD0">
        <w:rPr>
          <w:rFonts w:ascii="Century" w:hAnsi="Century" w:cs="Miriam" w:hint="eastAsia"/>
          <w:b/>
          <w:spacing w:val="0"/>
          <w:sz w:val="22"/>
          <w:szCs w:val="24"/>
          <w:rtl/>
        </w:rPr>
        <w:t>נ</w:t>
      </w:r>
      <w:r w:rsidRPr="00A36FD0">
        <w:rPr>
          <w:rFonts w:ascii="Century" w:hAnsi="Century" w:cs="Miriam"/>
          <w:b/>
          <w:spacing w:val="0"/>
          <w:sz w:val="22"/>
          <w:szCs w:val="24"/>
          <w:rtl/>
        </w:rPr>
        <w:t xml:space="preserve">' </w:t>
      </w:r>
      <w:proofErr w:type="spellStart"/>
      <w:r w:rsidRPr="00A36FD0">
        <w:rPr>
          <w:rFonts w:ascii="Century" w:hAnsi="Century" w:cs="Miriam" w:hint="eastAsia"/>
          <w:b/>
          <w:spacing w:val="0"/>
          <w:sz w:val="22"/>
          <w:szCs w:val="24"/>
          <w:rtl/>
        </w:rPr>
        <w:t>דחלה</w:t>
      </w:r>
      <w:proofErr w:type="spellEnd"/>
      <w:r w:rsidRPr="00A36FD0">
        <w:rPr>
          <w:rtl/>
        </w:rPr>
        <w:t xml:space="preserve">, </w:t>
      </w:r>
      <w:r>
        <w:rPr>
          <w:rFonts w:hint="cs"/>
          <w:rtl/>
        </w:rPr>
        <w:t xml:space="preserve">פ"ד </w:t>
      </w:r>
      <w:r w:rsidRPr="00A36FD0">
        <w:rPr>
          <w:rFonts w:hint="eastAsia"/>
          <w:rtl/>
        </w:rPr>
        <w:t>נב</w:t>
      </w:r>
      <w:r w:rsidRPr="00A36FD0">
        <w:rPr>
          <w:rtl/>
        </w:rPr>
        <w:t>(1) 625 (1998)</w:t>
      </w:r>
      <w:r>
        <w:rPr>
          <w:rFonts w:hint="cs"/>
          <w:rtl/>
        </w:rPr>
        <w:t xml:space="preserve">) אינם מתייחסים </w:t>
      </w:r>
      <w:r>
        <w:rPr>
          <w:rtl/>
        </w:rPr>
        <w:t>–</w:t>
      </w:r>
      <w:r>
        <w:rPr>
          <w:rFonts w:hint="cs"/>
          <w:rtl/>
        </w:rPr>
        <w:t xml:space="preserve"> וממילא לא נועדו להתייחס </w:t>
      </w:r>
      <w:r>
        <w:rPr>
          <w:rtl/>
        </w:rPr>
        <w:t>–</w:t>
      </w:r>
      <w:r>
        <w:rPr>
          <w:rFonts w:hint="cs"/>
          <w:rtl/>
        </w:rPr>
        <w:t xml:space="preserve"> למצב הראיות המיוחד במשפט חוזר.  </w:t>
      </w:r>
    </w:p>
    <w:p w:rsidR="003C5F47" w:rsidRPr="00A36FD0" w:rsidRDefault="003C5F47" w:rsidP="003C5F47">
      <w:pPr>
        <w:pStyle w:val="Ruller41"/>
      </w:pPr>
    </w:p>
    <w:p w:rsidR="003C5F47" w:rsidRDefault="003C5F47" w:rsidP="003C5F47">
      <w:pPr>
        <w:pStyle w:val="Ruller4"/>
        <w:rPr>
          <w:rtl/>
        </w:rPr>
      </w:pPr>
      <w:r>
        <w:rPr>
          <w:rFonts w:hint="cs"/>
          <w:rtl/>
        </w:rPr>
        <w:t xml:space="preserve">המדינה טוענת כי מצב הראיות במשפט חוזר הוא כמצב הראיות במשפט רגיל </w:t>
      </w:r>
      <w:r>
        <w:rPr>
          <w:rtl/>
        </w:rPr>
        <w:t>–</w:t>
      </w:r>
      <w:r>
        <w:rPr>
          <w:rFonts w:hint="cs"/>
          <w:rtl/>
        </w:rPr>
        <w:t xml:space="preserve"> ולא היא. החלטתו של שופט בית המשפט העליון לבטל את הרשעת הנאשם ולהורות על קיומו של משפט חוזר משנה את מצב הראיות </w:t>
      </w:r>
      <w:r w:rsidRPr="005759CE">
        <w:rPr>
          <w:rFonts w:ascii="Century" w:hAnsi="Century" w:cs="Miriam" w:hint="cs"/>
          <w:b/>
          <w:spacing w:val="0"/>
          <w:sz w:val="22"/>
          <w:szCs w:val="24"/>
          <w:rtl/>
        </w:rPr>
        <w:t xml:space="preserve">כל אימת שהיא ניתנת על יסוד </w:t>
      </w:r>
      <w:r>
        <w:rPr>
          <w:rFonts w:ascii="Century" w:hAnsi="Century" w:cs="Miriam" w:hint="cs"/>
          <w:b/>
          <w:spacing w:val="0"/>
          <w:sz w:val="22"/>
          <w:szCs w:val="24"/>
          <w:rtl/>
        </w:rPr>
        <w:t xml:space="preserve">אחת </w:t>
      </w:r>
      <w:r w:rsidRPr="005759CE">
        <w:rPr>
          <w:rFonts w:ascii="Century" w:hAnsi="Century" w:cs="Miriam" w:hint="cs"/>
          <w:b/>
          <w:spacing w:val="0"/>
          <w:sz w:val="22"/>
          <w:szCs w:val="24"/>
          <w:rtl/>
        </w:rPr>
        <w:lastRenderedPageBreak/>
        <w:t>העיל</w:t>
      </w:r>
      <w:r>
        <w:rPr>
          <w:rFonts w:ascii="Century" w:hAnsi="Century" w:cs="Miriam" w:hint="cs"/>
          <w:b/>
          <w:spacing w:val="0"/>
          <w:sz w:val="22"/>
          <w:szCs w:val="24"/>
          <w:rtl/>
        </w:rPr>
        <w:t>ות</w:t>
      </w:r>
      <w:r w:rsidRPr="005759CE">
        <w:rPr>
          <w:rFonts w:ascii="Century" w:hAnsi="Century" w:cs="Miriam" w:hint="cs"/>
          <w:b/>
          <w:spacing w:val="0"/>
          <w:sz w:val="22"/>
          <w:szCs w:val="24"/>
          <w:rtl/>
        </w:rPr>
        <w:t xml:space="preserve"> שעניינ</w:t>
      </w:r>
      <w:r>
        <w:rPr>
          <w:rFonts w:ascii="Century" w:hAnsi="Century" w:cs="Miriam" w:hint="cs"/>
          <w:b/>
          <w:spacing w:val="0"/>
          <w:sz w:val="22"/>
          <w:szCs w:val="24"/>
          <w:rtl/>
        </w:rPr>
        <w:t>ן</w:t>
      </w:r>
      <w:r w:rsidRPr="005759CE">
        <w:rPr>
          <w:rFonts w:ascii="Century" w:hAnsi="Century" w:cs="Miriam" w:hint="cs"/>
          <w:b/>
          <w:spacing w:val="0"/>
          <w:sz w:val="22"/>
          <w:szCs w:val="24"/>
          <w:rtl/>
        </w:rPr>
        <w:t xml:space="preserve"> ראיות</w:t>
      </w:r>
      <w:r>
        <w:rPr>
          <w:rFonts w:hint="cs"/>
          <w:rtl/>
        </w:rPr>
        <w:t xml:space="preserve">. במקרה דנן, ההחלטה בדבר המשפט החוזר אשר ניתנה על ידי המשנה לנשיאה </w:t>
      </w:r>
      <w:r w:rsidRPr="005759CE">
        <w:rPr>
          <w:rFonts w:ascii="Century" w:hAnsi="Century" w:cs="Miriam" w:hint="cs"/>
          <w:b/>
          <w:spacing w:val="0"/>
          <w:sz w:val="22"/>
          <w:szCs w:val="24"/>
          <w:rtl/>
        </w:rPr>
        <w:t>מלצר</w:t>
      </w:r>
      <w:r>
        <w:rPr>
          <w:rFonts w:hint="cs"/>
          <w:rtl/>
        </w:rPr>
        <w:t xml:space="preserve"> ניתנה על יסוד העילה המנויה בסעיף 31(א)(2) לחוק בתי המשפט </w:t>
      </w:r>
      <w:r>
        <w:rPr>
          <w:rtl/>
        </w:rPr>
        <w:t>–</w:t>
      </w:r>
      <w:r>
        <w:rPr>
          <w:rFonts w:hint="cs"/>
          <w:rtl/>
        </w:rPr>
        <w:t xml:space="preserve"> קרי: </w:t>
      </w:r>
      <w:r w:rsidRPr="00664DEF">
        <w:rPr>
          <w:rFonts w:ascii="Century" w:hAnsi="Century" w:cs="Miriam" w:hint="cs"/>
          <w:b/>
          <w:spacing w:val="0"/>
          <w:sz w:val="22"/>
          <w:szCs w:val="24"/>
          <w:rtl/>
        </w:rPr>
        <w:t xml:space="preserve">עקב כך שהוצגו </w:t>
      </w:r>
      <w:r w:rsidRPr="00664DEF">
        <w:rPr>
          <w:rFonts w:ascii="Century" w:hAnsi="Century" w:cs="Miriam" w:hint="eastAsia"/>
          <w:b/>
          <w:spacing w:val="0"/>
          <w:sz w:val="22"/>
          <w:szCs w:val="24"/>
          <w:rtl/>
        </w:rPr>
        <w:t>ראיות</w:t>
      </w:r>
      <w:r w:rsidRPr="00664DEF">
        <w:rPr>
          <w:rFonts w:ascii="Century" w:hAnsi="Century" w:cs="Miriam" w:hint="cs"/>
          <w:b/>
          <w:spacing w:val="0"/>
          <w:sz w:val="22"/>
          <w:szCs w:val="24"/>
          <w:rtl/>
        </w:rPr>
        <w:t xml:space="preserve"> אשר </w:t>
      </w:r>
      <w:r w:rsidRPr="00664DEF">
        <w:rPr>
          <w:rFonts w:ascii="Century" w:hAnsi="Century" w:cs="Miriam" w:hint="eastAsia"/>
          <w:b/>
          <w:spacing w:val="0"/>
          <w:sz w:val="22"/>
          <w:szCs w:val="24"/>
          <w:rtl/>
        </w:rPr>
        <w:t>עשויות</w:t>
      </w:r>
      <w:r w:rsidRPr="00664DEF">
        <w:rPr>
          <w:rFonts w:ascii="Century" w:hAnsi="Century" w:cs="Miriam" w:hint="cs"/>
          <w:b/>
          <w:spacing w:val="0"/>
          <w:sz w:val="22"/>
          <w:szCs w:val="24"/>
          <w:rtl/>
        </w:rPr>
        <w:t xml:space="preserve"> </w:t>
      </w:r>
      <w:r w:rsidRPr="00664DEF">
        <w:rPr>
          <w:rFonts w:ascii="Century" w:hAnsi="Century" w:cs="Miriam" w:hint="eastAsia"/>
          <w:b/>
          <w:spacing w:val="0"/>
          <w:sz w:val="22"/>
          <w:szCs w:val="24"/>
          <w:rtl/>
        </w:rPr>
        <w:t>לשנות</w:t>
      </w:r>
      <w:r w:rsidRPr="00664DEF">
        <w:rPr>
          <w:rFonts w:ascii="Century" w:hAnsi="Century" w:cs="Miriam"/>
          <w:b/>
          <w:spacing w:val="0"/>
          <w:sz w:val="22"/>
          <w:szCs w:val="24"/>
          <w:rtl/>
        </w:rPr>
        <w:t xml:space="preserve"> </w:t>
      </w:r>
      <w:r w:rsidRPr="00664DEF">
        <w:rPr>
          <w:rFonts w:ascii="Century" w:hAnsi="Century" w:cs="Miriam" w:hint="eastAsia"/>
          <w:b/>
          <w:spacing w:val="0"/>
          <w:sz w:val="22"/>
          <w:szCs w:val="24"/>
          <w:rtl/>
        </w:rPr>
        <w:t>את</w:t>
      </w:r>
      <w:r w:rsidRPr="00664DEF">
        <w:rPr>
          <w:rFonts w:ascii="Century" w:hAnsi="Century" w:cs="Miriam"/>
          <w:b/>
          <w:spacing w:val="0"/>
          <w:sz w:val="22"/>
          <w:szCs w:val="24"/>
          <w:rtl/>
        </w:rPr>
        <w:t xml:space="preserve"> </w:t>
      </w:r>
      <w:r w:rsidRPr="00664DEF">
        <w:rPr>
          <w:rFonts w:ascii="Century" w:hAnsi="Century" w:cs="Miriam" w:hint="eastAsia"/>
          <w:b/>
          <w:spacing w:val="0"/>
          <w:sz w:val="22"/>
          <w:szCs w:val="24"/>
          <w:rtl/>
        </w:rPr>
        <w:t>תוצאות</w:t>
      </w:r>
      <w:r w:rsidRPr="00664DEF">
        <w:rPr>
          <w:rFonts w:ascii="Century" w:hAnsi="Century" w:cs="Miriam"/>
          <w:b/>
          <w:spacing w:val="0"/>
          <w:sz w:val="22"/>
          <w:szCs w:val="24"/>
          <w:rtl/>
        </w:rPr>
        <w:t xml:space="preserve"> </w:t>
      </w:r>
      <w:r w:rsidRPr="00664DEF">
        <w:rPr>
          <w:rFonts w:ascii="Century" w:hAnsi="Century" w:cs="Miriam" w:hint="eastAsia"/>
          <w:b/>
          <w:spacing w:val="0"/>
          <w:sz w:val="22"/>
          <w:szCs w:val="24"/>
          <w:rtl/>
        </w:rPr>
        <w:t>המשפט</w:t>
      </w:r>
      <w:r w:rsidRPr="00664DEF">
        <w:rPr>
          <w:rFonts w:ascii="Century" w:hAnsi="Century" w:cs="Miriam"/>
          <w:b/>
          <w:spacing w:val="0"/>
          <w:sz w:val="22"/>
          <w:szCs w:val="24"/>
          <w:rtl/>
        </w:rPr>
        <w:t xml:space="preserve"> </w:t>
      </w:r>
      <w:r w:rsidRPr="00664DEF">
        <w:rPr>
          <w:rFonts w:ascii="Century" w:hAnsi="Century" w:cs="Miriam" w:hint="eastAsia"/>
          <w:b/>
          <w:spacing w:val="0"/>
          <w:sz w:val="22"/>
          <w:szCs w:val="24"/>
          <w:rtl/>
        </w:rPr>
        <w:t>לטובת</w:t>
      </w:r>
      <w:r w:rsidRPr="00664DEF">
        <w:rPr>
          <w:rFonts w:ascii="Century" w:hAnsi="Century" w:cs="Miriam"/>
          <w:b/>
          <w:spacing w:val="0"/>
          <w:sz w:val="22"/>
          <w:szCs w:val="24"/>
          <w:rtl/>
        </w:rPr>
        <w:t xml:space="preserve"> </w:t>
      </w:r>
      <w:r w:rsidRPr="00664DEF">
        <w:rPr>
          <w:rFonts w:ascii="Century" w:hAnsi="Century" w:cs="Miriam" w:hint="eastAsia"/>
          <w:b/>
          <w:spacing w:val="0"/>
          <w:sz w:val="22"/>
          <w:szCs w:val="24"/>
          <w:rtl/>
        </w:rPr>
        <w:t>הנ</w:t>
      </w:r>
      <w:r w:rsidRPr="00664DEF">
        <w:rPr>
          <w:rFonts w:ascii="Century" w:hAnsi="Century" w:cs="Miriam" w:hint="cs"/>
          <w:b/>
          <w:spacing w:val="0"/>
          <w:sz w:val="22"/>
          <w:szCs w:val="24"/>
          <w:rtl/>
        </w:rPr>
        <w:t>ידון</w:t>
      </w:r>
      <w:r>
        <w:rPr>
          <w:rFonts w:hint="cs"/>
          <w:rtl/>
        </w:rPr>
        <w:t>. הווה אומר: עילתו של המשפט החוזר שנערך למשיב נטועה, כל-כולה, בראיות בעלות פוטנציאל מזכה.</w:t>
      </w:r>
    </w:p>
    <w:p w:rsidR="003C5F47" w:rsidRPr="00664DEF" w:rsidRDefault="003C5F47" w:rsidP="003C5F47">
      <w:pPr>
        <w:pStyle w:val="Ruller41"/>
      </w:pPr>
    </w:p>
    <w:p w:rsidR="003C5F47" w:rsidRDefault="003C5F47" w:rsidP="003C5F47">
      <w:pPr>
        <w:pStyle w:val="Ruller4"/>
        <w:rPr>
          <w:rtl/>
        </w:rPr>
      </w:pPr>
      <w:r>
        <w:rPr>
          <w:rFonts w:hint="cs"/>
          <w:rtl/>
        </w:rPr>
        <w:t xml:space="preserve">ראיות שנקבע לגביהן כי הן עשויות לשנות את תוצאות המשפט ולהביא לזיכוי הנאשם, משמען ראיות שבכוחן לעורר ספק סביר לגבי אשמתו של הנאשם בעבירה בה הוא נמצא אשם מלכתחילה, אם לא למעלה מכך. לעניין זה, "ספק סביר" </w:t>
      </w:r>
      <w:r>
        <w:rPr>
          <w:rtl/>
        </w:rPr>
        <w:t>–</w:t>
      </w:r>
      <w:r>
        <w:rPr>
          <w:rFonts w:hint="cs"/>
          <w:rtl/>
        </w:rPr>
        <w:t xml:space="preserve"> פירושו ספק קונקרטי אשר מעוגן בחומר הראיות ואשר לא הוסר על ידי התביעה, להבדיל מספק היפותטי, תאורטי או ערטילאי שאין לו עיגון מוחשי בחומר הראיות והוא מרחף בחלל האוויר בכל משפט ומשפט. על הבחנה יסודית זו, ועל פסקי הדין שעיגנו אותה במשפטנו, עמדה השופטת </w:t>
      </w:r>
      <w:r w:rsidRPr="004558FB">
        <w:rPr>
          <w:rFonts w:ascii="Century" w:hAnsi="Century" w:cs="Miriam" w:hint="cs"/>
          <w:b/>
          <w:spacing w:val="0"/>
          <w:sz w:val="22"/>
          <w:szCs w:val="24"/>
          <w:rtl/>
        </w:rPr>
        <w:t xml:space="preserve">א' </w:t>
      </w:r>
      <w:proofErr w:type="spellStart"/>
      <w:r w:rsidRPr="004558FB">
        <w:rPr>
          <w:rFonts w:ascii="Century" w:hAnsi="Century" w:cs="Miriam" w:hint="cs"/>
          <w:b/>
          <w:spacing w:val="0"/>
          <w:sz w:val="22"/>
          <w:szCs w:val="24"/>
          <w:rtl/>
        </w:rPr>
        <w:t>פרוקצ'יה</w:t>
      </w:r>
      <w:proofErr w:type="spellEnd"/>
      <w:r w:rsidRPr="00366857">
        <w:rPr>
          <w:rFonts w:hint="cs"/>
          <w:rtl/>
        </w:rPr>
        <w:t xml:space="preserve"> </w:t>
      </w:r>
      <w:r>
        <w:rPr>
          <w:rFonts w:hint="cs"/>
          <w:rtl/>
        </w:rPr>
        <w:t>ב</w:t>
      </w:r>
      <w:r w:rsidRPr="00366857">
        <w:rPr>
          <w:rFonts w:hint="eastAsia"/>
          <w:rtl/>
        </w:rPr>
        <w:t>ע</w:t>
      </w:r>
      <w:r w:rsidRPr="00366857">
        <w:rPr>
          <w:rtl/>
        </w:rPr>
        <w:t>"</w:t>
      </w:r>
      <w:r w:rsidRPr="00366857">
        <w:rPr>
          <w:rFonts w:hint="eastAsia"/>
          <w:rtl/>
        </w:rPr>
        <w:t>פ</w:t>
      </w:r>
      <w:r w:rsidRPr="00366857">
        <w:rPr>
          <w:rtl/>
        </w:rPr>
        <w:t xml:space="preserve"> 2132/04 </w:t>
      </w:r>
      <w:r w:rsidRPr="004558FB">
        <w:rPr>
          <w:rFonts w:ascii="Century" w:hAnsi="Century" w:cs="Miriam" w:hint="eastAsia"/>
          <w:b/>
          <w:spacing w:val="0"/>
          <w:sz w:val="22"/>
          <w:szCs w:val="24"/>
          <w:rtl/>
        </w:rPr>
        <w:t>קייס</w:t>
      </w:r>
      <w:r w:rsidRPr="004558FB">
        <w:rPr>
          <w:rFonts w:ascii="Century" w:hAnsi="Century" w:cs="Miriam"/>
          <w:b/>
          <w:spacing w:val="0"/>
          <w:sz w:val="22"/>
          <w:szCs w:val="24"/>
          <w:rtl/>
        </w:rPr>
        <w:t xml:space="preserve"> </w:t>
      </w:r>
      <w:r w:rsidRPr="004558FB">
        <w:rPr>
          <w:rFonts w:ascii="Century" w:hAnsi="Century" w:cs="Miriam" w:hint="eastAsia"/>
          <w:b/>
          <w:spacing w:val="0"/>
          <w:sz w:val="22"/>
          <w:szCs w:val="24"/>
          <w:rtl/>
        </w:rPr>
        <w:t>נ</w:t>
      </w:r>
      <w:r w:rsidRPr="004558FB">
        <w:rPr>
          <w:rFonts w:ascii="Century" w:hAnsi="Century" w:cs="Miriam"/>
          <w:b/>
          <w:spacing w:val="0"/>
          <w:sz w:val="22"/>
          <w:szCs w:val="24"/>
          <w:rtl/>
        </w:rPr>
        <w:t xml:space="preserve">' </w:t>
      </w:r>
      <w:r w:rsidRPr="004558FB">
        <w:rPr>
          <w:rFonts w:ascii="Century" w:hAnsi="Century" w:cs="Miriam" w:hint="eastAsia"/>
          <w:b/>
          <w:spacing w:val="0"/>
          <w:sz w:val="22"/>
          <w:szCs w:val="24"/>
          <w:rtl/>
        </w:rPr>
        <w:t>מדינת</w:t>
      </w:r>
      <w:r w:rsidRPr="004558FB">
        <w:rPr>
          <w:rFonts w:ascii="Century" w:hAnsi="Century" w:cs="Miriam"/>
          <w:b/>
          <w:spacing w:val="0"/>
          <w:sz w:val="22"/>
          <w:szCs w:val="24"/>
          <w:rtl/>
        </w:rPr>
        <w:t xml:space="preserve"> </w:t>
      </w:r>
      <w:r w:rsidRPr="004558FB">
        <w:rPr>
          <w:rFonts w:ascii="Century" w:hAnsi="Century" w:cs="Miriam" w:hint="eastAsia"/>
          <w:b/>
          <w:spacing w:val="0"/>
          <w:sz w:val="22"/>
          <w:szCs w:val="24"/>
          <w:rtl/>
        </w:rPr>
        <w:t>ישראל</w:t>
      </w:r>
      <w:r>
        <w:rPr>
          <w:rFonts w:hint="cs"/>
          <w:rtl/>
        </w:rPr>
        <w:t xml:space="preserve"> </w:t>
      </w:r>
      <w:r w:rsidRPr="00366857">
        <w:rPr>
          <w:rtl/>
        </w:rPr>
        <w:t>(28.5.2007)</w:t>
      </w:r>
      <w:r>
        <w:rPr>
          <w:rFonts w:hint="cs"/>
          <w:rtl/>
        </w:rPr>
        <w:t>, בזו הלשון:</w:t>
      </w:r>
    </w:p>
    <w:p w:rsidR="003C5F47" w:rsidRDefault="003C5F47" w:rsidP="003C5F47">
      <w:pPr>
        <w:pStyle w:val="Ruller41"/>
        <w:rPr>
          <w:rtl/>
        </w:rPr>
      </w:pPr>
    </w:p>
    <w:p w:rsidR="003C5F47" w:rsidRDefault="003C5F47" w:rsidP="003C5F47">
      <w:pPr>
        <w:pStyle w:val="Ruller5"/>
        <w:rPr>
          <w:rtl/>
        </w:rPr>
      </w:pPr>
      <w:r w:rsidRPr="00366857">
        <w:rPr>
          <w:rtl/>
        </w:rPr>
        <w:t>"</w:t>
      </w:r>
      <w:r w:rsidRPr="00366857">
        <w:rPr>
          <w:rFonts w:hint="eastAsia"/>
          <w:rtl/>
        </w:rPr>
        <w:t>לצורך</w:t>
      </w:r>
      <w:r w:rsidRPr="00366857">
        <w:rPr>
          <w:rtl/>
        </w:rPr>
        <w:t xml:space="preserve"> </w:t>
      </w:r>
      <w:r w:rsidRPr="00366857">
        <w:rPr>
          <w:rFonts w:hint="eastAsia"/>
          <w:rtl/>
        </w:rPr>
        <w:t>הרשעה</w:t>
      </w:r>
      <w:r w:rsidRPr="00366857">
        <w:rPr>
          <w:rtl/>
        </w:rPr>
        <w:t xml:space="preserve">, </w:t>
      </w:r>
      <w:r w:rsidRPr="00366857">
        <w:rPr>
          <w:rFonts w:hint="eastAsia"/>
          <w:rtl/>
        </w:rPr>
        <w:t>על</w:t>
      </w:r>
      <w:r w:rsidRPr="00366857">
        <w:rPr>
          <w:rtl/>
        </w:rPr>
        <w:t xml:space="preserve"> </w:t>
      </w:r>
      <w:r w:rsidRPr="00366857">
        <w:rPr>
          <w:rFonts w:hint="eastAsia"/>
          <w:rtl/>
        </w:rPr>
        <w:t>התשתית</w:t>
      </w:r>
      <w:r w:rsidRPr="00366857">
        <w:rPr>
          <w:rtl/>
        </w:rPr>
        <w:t xml:space="preserve"> </w:t>
      </w:r>
      <w:r w:rsidRPr="00366857">
        <w:rPr>
          <w:rFonts w:hint="eastAsia"/>
          <w:rtl/>
        </w:rPr>
        <w:t>הראייתית</w:t>
      </w:r>
      <w:r w:rsidRPr="00366857">
        <w:rPr>
          <w:rtl/>
        </w:rPr>
        <w:t xml:space="preserve"> </w:t>
      </w:r>
      <w:r w:rsidRPr="00366857">
        <w:rPr>
          <w:rFonts w:hint="eastAsia"/>
          <w:rtl/>
        </w:rPr>
        <w:t>לבסס</w:t>
      </w:r>
      <w:r w:rsidRPr="00366857">
        <w:rPr>
          <w:rtl/>
        </w:rPr>
        <w:t xml:space="preserve">, </w:t>
      </w:r>
      <w:proofErr w:type="spellStart"/>
      <w:r w:rsidRPr="00366857">
        <w:rPr>
          <w:rFonts w:hint="eastAsia"/>
          <w:rtl/>
        </w:rPr>
        <w:t>איפוא</w:t>
      </w:r>
      <w:proofErr w:type="spellEnd"/>
      <w:r w:rsidRPr="00366857">
        <w:rPr>
          <w:rtl/>
        </w:rPr>
        <w:t xml:space="preserve">, </w:t>
      </w:r>
      <w:r w:rsidRPr="00366857">
        <w:rPr>
          <w:rFonts w:hint="eastAsia"/>
          <w:rtl/>
        </w:rPr>
        <w:t>את</w:t>
      </w:r>
      <w:r w:rsidRPr="00366857">
        <w:rPr>
          <w:rtl/>
        </w:rPr>
        <w:t xml:space="preserve"> </w:t>
      </w:r>
      <w:r w:rsidRPr="00366857">
        <w:rPr>
          <w:rFonts w:hint="eastAsia"/>
          <w:rtl/>
        </w:rPr>
        <w:t>אמיתות</w:t>
      </w:r>
      <w:r w:rsidRPr="00366857">
        <w:rPr>
          <w:rtl/>
        </w:rPr>
        <w:t xml:space="preserve"> </w:t>
      </w:r>
      <w:r w:rsidRPr="00366857">
        <w:rPr>
          <w:rFonts w:hint="eastAsia"/>
          <w:rtl/>
        </w:rPr>
        <w:t>העובדות</w:t>
      </w:r>
      <w:r w:rsidRPr="00366857">
        <w:rPr>
          <w:rtl/>
        </w:rPr>
        <w:t xml:space="preserve"> </w:t>
      </w:r>
      <w:r w:rsidRPr="00366857">
        <w:rPr>
          <w:rFonts w:hint="eastAsia"/>
          <w:rtl/>
        </w:rPr>
        <w:t>כדי</w:t>
      </w:r>
      <w:r w:rsidRPr="00366857">
        <w:rPr>
          <w:rtl/>
        </w:rPr>
        <w:t xml:space="preserve"> </w:t>
      </w:r>
      <w:r w:rsidRPr="00366857">
        <w:rPr>
          <w:rFonts w:hint="eastAsia"/>
          <w:rtl/>
        </w:rPr>
        <w:t>וודאות</w:t>
      </w:r>
      <w:r w:rsidRPr="00366857">
        <w:rPr>
          <w:rtl/>
        </w:rPr>
        <w:t xml:space="preserve"> </w:t>
      </w:r>
      <w:r w:rsidRPr="00366857">
        <w:rPr>
          <w:rFonts w:hint="eastAsia"/>
          <w:rtl/>
        </w:rPr>
        <w:t>הגיונית</w:t>
      </w:r>
      <w:r w:rsidRPr="00366857">
        <w:rPr>
          <w:rtl/>
        </w:rPr>
        <w:t xml:space="preserve"> </w:t>
      </w:r>
      <w:r w:rsidRPr="00366857">
        <w:rPr>
          <w:rFonts w:hint="eastAsia"/>
          <w:rtl/>
        </w:rPr>
        <w:t>וערכית</w:t>
      </w:r>
      <w:r w:rsidRPr="00366857">
        <w:rPr>
          <w:rtl/>
        </w:rPr>
        <w:t xml:space="preserve"> </w:t>
      </w:r>
      <w:r w:rsidRPr="00366857">
        <w:rPr>
          <w:rFonts w:hint="eastAsia"/>
          <w:rtl/>
        </w:rPr>
        <w:t>סבירה</w:t>
      </w:r>
      <w:r w:rsidRPr="00366857">
        <w:rPr>
          <w:rtl/>
        </w:rPr>
        <w:t xml:space="preserve">. </w:t>
      </w:r>
      <w:r w:rsidRPr="00366857">
        <w:rPr>
          <w:rFonts w:hint="eastAsia"/>
          <w:rtl/>
        </w:rPr>
        <w:t>עליה</w:t>
      </w:r>
      <w:r w:rsidRPr="00366857">
        <w:rPr>
          <w:rtl/>
        </w:rPr>
        <w:t xml:space="preserve"> </w:t>
      </w:r>
      <w:r w:rsidRPr="00366857">
        <w:rPr>
          <w:rFonts w:hint="eastAsia"/>
          <w:rtl/>
        </w:rPr>
        <w:t>לעמוד</w:t>
      </w:r>
      <w:r w:rsidRPr="00366857">
        <w:rPr>
          <w:rtl/>
        </w:rPr>
        <w:t xml:space="preserve"> </w:t>
      </w:r>
      <w:r w:rsidRPr="00366857">
        <w:rPr>
          <w:rFonts w:hint="eastAsia"/>
          <w:rtl/>
        </w:rPr>
        <w:t>במבחן</w:t>
      </w:r>
      <w:r w:rsidRPr="00366857">
        <w:rPr>
          <w:rtl/>
        </w:rPr>
        <w:t xml:space="preserve"> </w:t>
      </w:r>
      <w:r w:rsidRPr="00366857">
        <w:rPr>
          <w:rFonts w:hint="eastAsia"/>
          <w:rtl/>
        </w:rPr>
        <w:t>השכל</w:t>
      </w:r>
      <w:r w:rsidRPr="00366857">
        <w:rPr>
          <w:rtl/>
        </w:rPr>
        <w:t xml:space="preserve"> </w:t>
      </w:r>
      <w:r w:rsidRPr="00366857">
        <w:rPr>
          <w:rFonts w:hint="eastAsia"/>
          <w:rtl/>
        </w:rPr>
        <w:t>הישר</w:t>
      </w:r>
      <w:r w:rsidRPr="00366857">
        <w:rPr>
          <w:rtl/>
        </w:rPr>
        <w:t xml:space="preserve">, </w:t>
      </w:r>
      <w:proofErr w:type="spellStart"/>
      <w:r w:rsidRPr="00366857">
        <w:rPr>
          <w:rFonts w:hint="eastAsia"/>
          <w:rtl/>
        </w:rPr>
        <w:t>נסיון</w:t>
      </w:r>
      <w:proofErr w:type="spellEnd"/>
      <w:r w:rsidRPr="00366857">
        <w:rPr>
          <w:rtl/>
        </w:rPr>
        <w:t xml:space="preserve"> </w:t>
      </w:r>
      <w:r w:rsidRPr="00366857">
        <w:rPr>
          <w:rFonts w:hint="eastAsia"/>
          <w:rtl/>
        </w:rPr>
        <w:t>החיים</w:t>
      </w:r>
      <w:r w:rsidRPr="00366857">
        <w:rPr>
          <w:rtl/>
        </w:rPr>
        <w:t xml:space="preserve"> </w:t>
      </w:r>
      <w:proofErr w:type="spellStart"/>
      <w:r w:rsidRPr="00366857">
        <w:rPr>
          <w:rFonts w:hint="eastAsia"/>
          <w:rtl/>
        </w:rPr>
        <w:t>וההגיון</w:t>
      </w:r>
      <w:proofErr w:type="spellEnd"/>
      <w:r w:rsidRPr="00366857">
        <w:rPr>
          <w:rtl/>
        </w:rPr>
        <w:t xml:space="preserve">. </w:t>
      </w:r>
      <w:r w:rsidRPr="00366857">
        <w:rPr>
          <w:rFonts w:hint="eastAsia"/>
          <w:rtl/>
        </w:rPr>
        <w:t>ספק</w:t>
      </w:r>
      <w:r w:rsidRPr="00366857">
        <w:rPr>
          <w:rtl/>
        </w:rPr>
        <w:t xml:space="preserve"> </w:t>
      </w:r>
      <w:r w:rsidRPr="00366857">
        <w:rPr>
          <w:rFonts w:hint="eastAsia"/>
          <w:rtl/>
        </w:rPr>
        <w:t>ממשי</w:t>
      </w:r>
      <w:r w:rsidRPr="00366857">
        <w:rPr>
          <w:rtl/>
        </w:rPr>
        <w:t xml:space="preserve"> </w:t>
      </w:r>
      <w:r w:rsidRPr="00366857">
        <w:rPr>
          <w:rFonts w:hint="eastAsia"/>
          <w:rtl/>
        </w:rPr>
        <w:t>ומוחשי</w:t>
      </w:r>
      <w:r w:rsidRPr="00366857">
        <w:rPr>
          <w:rtl/>
        </w:rPr>
        <w:t xml:space="preserve">, </w:t>
      </w:r>
      <w:r w:rsidRPr="00366857">
        <w:rPr>
          <w:rFonts w:hint="eastAsia"/>
          <w:rtl/>
        </w:rPr>
        <w:t>להבדיל</w:t>
      </w:r>
      <w:r w:rsidRPr="00366857">
        <w:rPr>
          <w:rtl/>
        </w:rPr>
        <w:t xml:space="preserve"> </w:t>
      </w:r>
      <w:r w:rsidRPr="00366857">
        <w:rPr>
          <w:rFonts w:hint="eastAsia"/>
          <w:rtl/>
        </w:rPr>
        <w:t>מספק</w:t>
      </w:r>
      <w:r w:rsidRPr="00366857">
        <w:rPr>
          <w:rtl/>
        </w:rPr>
        <w:t xml:space="preserve"> </w:t>
      </w:r>
      <w:r w:rsidRPr="00366857">
        <w:rPr>
          <w:rFonts w:hint="eastAsia"/>
          <w:rtl/>
        </w:rPr>
        <w:t>הנשען</w:t>
      </w:r>
      <w:r w:rsidRPr="00366857">
        <w:rPr>
          <w:rtl/>
        </w:rPr>
        <w:t xml:space="preserve"> </w:t>
      </w:r>
      <w:r w:rsidRPr="00366857">
        <w:rPr>
          <w:rFonts w:hint="eastAsia"/>
          <w:rtl/>
        </w:rPr>
        <w:t>על</w:t>
      </w:r>
      <w:r w:rsidRPr="00366857">
        <w:rPr>
          <w:rtl/>
        </w:rPr>
        <w:t xml:space="preserve"> </w:t>
      </w:r>
      <w:r w:rsidRPr="00366857">
        <w:rPr>
          <w:rFonts w:hint="eastAsia"/>
          <w:rtl/>
        </w:rPr>
        <w:t>אפשרות</w:t>
      </w:r>
      <w:r w:rsidRPr="00366857">
        <w:rPr>
          <w:rtl/>
        </w:rPr>
        <w:t xml:space="preserve"> </w:t>
      </w:r>
      <w:r w:rsidRPr="00366857">
        <w:rPr>
          <w:rFonts w:hint="eastAsia"/>
          <w:rtl/>
        </w:rPr>
        <w:t>דמיונית</w:t>
      </w:r>
      <w:r w:rsidRPr="00366857">
        <w:rPr>
          <w:rtl/>
        </w:rPr>
        <w:t xml:space="preserve"> </w:t>
      </w:r>
      <w:r w:rsidRPr="00366857">
        <w:rPr>
          <w:rFonts w:hint="eastAsia"/>
          <w:rtl/>
        </w:rPr>
        <w:t>ערטילאית</w:t>
      </w:r>
      <w:r w:rsidRPr="00366857">
        <w:rPr>
          <w:rtl/>
        </w:rPr>
        <w:t xml:space="preserve">, </w:t>
      </w:r>
      <w:r w:rsidRPr="00366857">
        <w:rPr>
          <w:rFonts w:hint="eastAsia"/>
          <w:rtl/>
        </w:rPr>
        <w:t>יצדיק</w:t>
      </w:r>
      <w:r w:rsidRPr="00366857">
        <w:rPr>
          <w:rtl/>
        </w:rPr>
        <w:t xml:space="preserve"> </w:t>
      </w:r>
      <w:r w:rsidRPr="00366857">
        <w:rPr>
          <w:rFonts w:hint="eastAsia"/>
          <w:rtl/>
        </w:rPr>
        <w:t>אי</w:t>
      </w:r>
      <w:r w:rsidRPr="00366857">
        <w:rPr>
          <w:rtl/>
        </w:rPr>
        <w:t>-</w:t>
      </w:r>
      <w:r w:rsidRPr="00366857">
        <w:rPr>
          <w:rFonts w:hint="eastAsia"/>
          <w:rtl/>
        </w:rPr>
        <w:t>הרשעה</w:t>
      </w:r>
      <w:r>
        <w:rPr>
          <w:rFonts w:hint="cs"/>
          <w:rtl/>
        </w:rPr>
        <w:t xml:space="preserve">". </w:t>
      </w:r>
    </w:p>
    <w:p w:rsidR="003C5F47" w:rsidRDefault="003C5F47" w:rsidP="003C5F47">
      <w:pPr>
        <w:pStyle w:val="Ruller5"/>
        <w:rPr>
          <w:rtl/>
        </w:rPr>
      </w:pPr>
    </w:p>
    <w:p w:rsidR="003C5F47" w:rsidRDefault="003C5F47" w:rsidP="003C5F47">
      <w:pPr>
        <w:pStyle w:val="Ruller5"/>
        <w:rPr>
          <w:rtl/>
        </w:rPr>
      </w:pPr>
      <w:r>
        <w:rPr>
          <w:rFonts w:hint="cs"/>
          <w:rtl/>
        </w:rPr>
        <w:t>(ראו: שם, ב</w:t>
      </w:r>
      <w:r w:rsidRPr="00366857">
        <w:rPr>
          <w:rFonts w:hint="eastAsia"/>
          <w:rtl/>
        </w:rPr>
        <w:t>פסקה</w:t>
      </w:r>
      <w:r>
        <w:rPr>
          <w:rtl/>
        </w:rPr>
        <w:t xml:space="preserve"> 11</w:t>
      </w:r>
      <w:r>
        <w:rPr>
          <w:rFonts w:hint="cs"/>
          <w:rtl/>
        </w:rPr>
        <w:t xml:space="preserve">; וראו דברים זהים שאמר השופט המנוח </w:t>
      </w:r>
      <w:r w:rsidRPr="00AE0523">
        <w:rPr>
          <w:rFonts w:ascii="Century" w:hAnsi="Century" w:cs="Miriam" w:hint="cs"/>
          <w:b/>
          <w:spacing w:val="0"/>
          <w:szCs w:val="24"/>
          <w:rtl/>
        </w:rPr>
        <w:t>מ' חשין</w:t>
      </w:r>
      <w:r>
        <w:rPr>
          <w:rFonts w:hint="cs"/>
          <w:rtl/>
        </w:rPr>
        <w:t xml:space="preserve"> (כתוארו אז) ב</w:t>
      </w:r>
      <w:r w:rsidRPr="00366857">
        <w:rPr>
          <w:rFonts w:hint="eastAsia"/>
          <w:rtl/>
        </w:rPr>
        <w:t>פסק</w:t>
      </w:r>
      <w:r>
        <w:rPr>
          <w:rFonts w:hint="cs"/>
          <w:rtl/>
        </w:rPr>
        <w:t>אות 26-21 לפסק דינו ב</w:t>
      </w:r>
      <w:r w:rsidRPr="00366857">
        <w:rPr>
          <w:rFonts w:hint="eastAsia"/>
          <w:rtl/>
        </w:rPr>
        <w:t>ע</w:t>
      </w:r>
      <w:r w:rsidRPr="00366857">
        <w:rPr>
          <w:rtl/>
        </w:rPr>
        <w:t>"</w:t>
      </w:r>
      <w:r w:rsidRPr="00366857">
        <w:rPr>
          <w:rFonts w:hint="eastAsia"/>
          <w:rtl/>
        </w:rPr>
        <w:t>פ</w:t>
      </w:r>
      <w:r w:rsidRPr="00366857">
        <w:rPr>
          <w:rtl/>
        </w:rPr>
        <w:t xml:space="preserve"> 6251/94 </w:t>
      </w:r>
      <w:r w:rsidRPr="00366857">
        <w:rPr>
          <w:rFonts w:ascii="Century" w:hAnsi="Century" w:cs="Miriam" w:hint="eastAsia"/>
          <w:b/>
          <w:spacing w:val="0"/>
          <w:szCs w:val="24"/>
          <w:rtl/>
        </w:rPr>
        <w:t>בן</w:t>
      </w:r>
      <w:r w:rsidRPr="00366857">
        <w:rPr>
          <w:rFonts w:ascii="Century" w:hAnsi="Century" w:cs="Miriam"/>
          <w:b/>
          <w:spacing w:val="0"/>
          <w:szCs w:val="24"/>
          <w:rtl/>
        </w:rPr>
        <w:t>-</w:t>
      </w:r>
      <w:r w:rsidRPr="00366857">
        <w:rPr>
          <w:rFonts w:ascii="Century" w:hAnsi="Century" w:cs="Miriam" w:hint="eastAsia"/>
          <w:b/>
          <w:spacing w:val="0"/>
          <w:szCs w:val="24"/>
          <w:rtl/>
        </w:rPr>
        <w:t>ארי</w:t>
      </w:r>
      <w:r w:rsidRPr="00366857">
        <w:rPr>
          <w:rFonts w:ascii="Century" w:hAnsi="Century" w:cs="Miriam"/>
          <w:b/>
          <w:spacing w:val="0"/>
          <w:szCs w:val="24"/>
          <w:rtl/>
        </w:rPr>
        <w:t xml:space="preserve"> </w:t>
      </w:r>
      <w:r w:rsidRPr="00366857">
        <w:rPr>
          <w:rFonts w:ascii="Century" w:hAnsi="Century" w:cs="Miriam" w:hint="eastAsia"/>
          <w:b/>
          <w:spacing w:val="0"/>
          <w:szCs w:val="24"/>
          <w:rtl/>
        </w:rPr>
        <w:t>נ</w:t>
      </w:r>
      <w:r w:rsidRPr="00366857">
        <w:rPr>
          <w:rFonts w:ascii="Century" w:hAnsi="Century" w:cs="Miriam"/>
          <w:b/>
          <w:spacing w:val="0"/>
          <w:szCs w:val="24"/>
          <w:rtl/>
        </w:rPr>
        <w:t xml:space="preserve">' </w:t>
      </w:r>
      <w:r w:rsidRPr="00366857">
        <w:rPr>
          <w:rFonts w:ascii="Century" w:hAnsi="Century" w:cs="Miriam" w:hint="eastAsia"/>
          <w:b/>
          <w:spacing w:val="0"/>
          <w:szCs w:val="24"/>
          <w:rtl/>
        </w:rPr>
        <w:t>מדינת</w:t>
      </w:r>
      <w:r w:rsidRPr="00366857">
        <w:rPr>
          <w:rFonts w:ascii="Century" w:hAnsi="Century" w:cs="Miriam"/>
          <w:b/>
          <w:spacing w:val="0"/>
          <w:szCs w:val="24"/>
          <w:rtl/>
        </w:rPr>
        <w:t xml:space="preserve"> </w:t>
      </w:r>
      <w:r w:rsidRPr="00366857">
        <w:rPr>
          <w:rFonts w:ascii="Century" w:hAnsi="Century" w:cs="Miriam" w:hint="eastAsia"/>
          <w:b/>
          <w:spacing w:val="0"/>
          <w:szCs w:val="24"/>
          <w:rtl/>
        </w:rPr>
        <w:t>ישראל</w:t>
      </w:r>
      <w:r w:rsidRPr="00366857">
        <w:rPr>
          <w:rtl/>
        </w:rPr>
        <w:t xml:space="preserve">, </w:t>
      </w:r>
      <w:r w:rsidRPr="00366857">
        <w:rPr>
          <w:rFonts w:hint="eastAsia"/>
          <w:rtl/>
        </w:rPr>
        <w:t>פ</w:t>
      </w:r>
      <w:r w:rsidRPr="00366857">
        <w:rPr>
          <w:rtl/>
        </w:rPr>
        <w:t>"</w:t>
      </w:r>
      <w:r w:rsidRPr="00366857">
        <w:rPr>
          <w:rFonts w:hint="eastAsia"/>
          <w:rtl/>
        </w:rPr>
        <w:t>ד</w:t>
      </w:r>
      <w:r w:rsidRPr="00366857">
        <w:rPr>
          <w:rtl/>
        </w:rPr>
        <w:t xml:space="preserve"> </w:t>
      </w:r>
      <w:r w:rsidRPr="00366857">
        <w:rPr>
          <w:rFonts w:hint="eastAsia"/>
          <w:rtl/>
        </w:rPr>
        <w:t>מט</w:t>
      </w:r>
      <w:r w:rsidRPr="00366857">
        <w:rPr>
          <w:rtl/>
        </w:rPr>
        <w:t>(3) 45 (1995)</w:t>
      </w:r>
      <w:r>
        <w:rPr>
          <w:rFonts w:hint="cs"/>
          <w:rtl/>
        </w:rPr>
        <w:t xml:space="preserve">; וכן, </w:t>
      </w:r>
      <w:r w:rsidRPr="00AE0523">
        <w:rPr>
          <w:rFonts w:hint="eastAsia"/>
          <w:rtl/>
        </w:rPr>
        <w:t>ע</w:t>
      </w:r>
      <w:r w:rsidRPr="00AE0523">
        <w:rPr>
          <w:rtl/>
        </w:rPr>
        <w:t>"</w:t>
      </w:r>
      <w:r w:rsidRPr="00AE0523">
        <w:rPr>
          <w:rFonts w:hint="eastAsia"/>
          <w:rtl/>
        </w:rPr>
        <w:t>פ</w:t>
      </w:r>
      <w:r w:rsidRPr="00AE0523">
        <w:rPr>
          <w:rtl/>
        </w:rPr>
        <w:t xml:space="preserve"> </w:t>
      </w:r>
      <w:r>
        <w:rPr>
          <w:rFonts w:hint="cs"/>
          <w:rtl/>
        </w:rPr>
        <w:t>5270</w:t>
      </w:r>
      <w:r w:rsidRPr="00AE0523">
        <w:rPr>
          <w:rtl/>
        </w:rPr>
        <w:t xml:space="preserve">/14 </w:t>
      </w:r>
      <w:r>
        <w:rPr>
          <w:rFonts w:ascii="Century" w:hAnsi="Century" w:cs="Miriam" w:hint="cs"/>
          <w:b/>
          <w:spacing w:val="0"/>
          <w:szCs w:val="24"/>
          <w:rtl/>
        </w:rPr>
        <w:t>אולמרט</w:t>
      </w:r>
      <w:r w:rsidRPr="00AE0523">
        <w:rPr>
          <w:rFonts w:ascii="Century" w:hAnsi="Century" w:cs="Miriam"/>
          <w:b/>
          <w:spacing w:val="0"/>
          <w:szCs w:val="24"/>
          <w:rtl/>
        </w:rPr>
        <w:t xml:space="preserve"> </w:t>
      </w:r>
      <w:r w:rsidRPr="00AE0523">
        <w:rPr>
          <w:rFonts w:ascii="Century" w:hAnsi="Century" w:cs="Miriam" w:hint="eastAsia"/>
          <w:b/>
          <w:spacing w:val="0"/>
          <w:szCs w:val="24"/>
          <w:rtl/>
        </w:rPr>
        <w:t>נ</w:t>
      </w:r>
      <w:r w:rsidRPr="00AE0523">
        <w:rPr>
          <w:rFonts w:ascii="Century" w:hAnsi="Century" w:cs="Miriam"/>
          <w:b/>
          <w:spacing w:val="0"/>
          <w:szCs w:val="24"/>
          <w:rtl/>
        </w:rPr>
        <w:t xml:space="preserve">' </w:t>
      </w:r>
      <w:r w:rsidRPr="00AE0523">
        <w:rPr>
          <w:rFonts w:ascii="Century" w:hAnsi="Century" w:cs="Miriam" w:hint="eastAsia"/>
          <w:b/>
          <w:spacing w:val="0"/>
          <w:szCs w:val="24"/>
          <w:rtl/>
        </w:rPr>
        <w:t>מדינת</w:t>
      </w:r>
      <w:r w:rsidRPr="00AE0523">
        <w:rPr>
          <w:rFonts w:ascii="Century" w:hAnsi="Century" w:cs="Miriam"/>
          <w:b/>
          <w:spacing w:val="0"/>
          <w:szCs w:val="24"/>
          <w:rtl/>
        </w:rPr>
        <w:t xml:space="preserve"> </w:t>
      </w:r>
      <w:r w:rsidRPr="00AE0523">
        <w:rPr>
          <w:rFonts w:ascii="Century" w:hAnsi="Century" w:cs="Miriam" w:hint="eastAsia"/>
          <w:b/>
          <w:spacing w:val="0"/>
          <w:szCs w:val="24"/>
          <w:rtl/>
        </w:rPr>
        <w:t>ישראל</w:t>
      </w:r>
      <w:r>
        <w:rPr>
          <w:rFonts w:hint="cs"/>
          <w:rtl/>
        </w:rPr>
        <w:t xml:space="preserve">, </w:t>
      </w:r>
      <w:r w:rsidRPr="00AE0523">
        <w:rPr>
          <w:rFonts w:hint="eastAsia"/>
          <w:rtl/>
        </w:rPr>
        <w:t>פסקאות</w:t>
      </w:r>
      <w:r w:rsidRPr="00AE0523">
        <w:rPr>
          <w:rtl/>
        </w:rPr>
        <w:t xml:space="preserve"> 160-159 </w:t>
      </w:r>
      <w:r>
        <w:rPr>
          <w:rFonts w:hint="cs"/>
          <w:rtl/>
        </w:rPr>
        <w:t xml:space="preserve">לפסק דינו של </w:t>
      </w:r>
      <w:r w:rsidRPr="00AE0523">
        <w:rPr>
          <w:rFonts w:hint="eastAsia"/>
          <w:rtl/>
        </w:rPr>
        <w:t>השופט</w:t>
      </w:r>
      <w:r w:rsidRPr="00AE0523">
        <w:rPr>
          <w:rtl/>
        </w:rPr>
        <w:t xml:space="preserve"> </w:t>
      </w:r>
      <w:r w:rsidRPr="00AE0523">
        <w:rPr>
          <w:rFonts w:ascii="Century" w:hAnsi="Century" w:cs="Miriam" w:hint="eastAsia"/>
          <w:b/>
          <w:spacing w:val="0"/>
          <w:szCs w:val="24"/>
          <w:rtl/>
        </w:rPr>
        <w:t>ס</w:t>
      </w:r>
      <w:r w:rsidRPr="00AE0523">
        <w:rPr>
          <w:rFonts w:ascii="Century" w:hAnsi="Century" w:cs="Miriam"/>
          <w:b/>
          <w:spacing w:val="0"/>
          <w:szCs w:val="24"/>
          <w:rtl/>
        </w:rPr>
        <w:t xml:space="preserve">' </w:t>
      </w:r>
      <w:r w:rsidRPr="00AE0523">
        <w:rPr>
          <w:rFonts w:ascii="Century" w:hAnsi="Century" w:cs="Miriam" w:hint="eastAsia"/>
          <w:b/>
          <w:spacing w:val="0"/>
          <w:szCs w:val="24"/>
          <w:rtl/>
        </w:rPr>
        <w:t>ג</w:t>
      </w:r>
      <w:r w:rsidRPr="00AE0523">
        <w:rPr>
          <w:rFonts w:ascii="Century" w:hAnsi="Century" w:cs="Miriam"/>
          <w:b/>
          <w:spacing w:val="0"/>
          <w:szCs w:val="24"/>
          <w:rtl/>
        </w:rPr>
        <w:t>'</w:t>
      </w:r>
      <w:r w:rsidRPr="00AE0523">
        <w:rPr>
          <w:rFonts w:ascii="Century" w:hAnsi="Century" w:cs="Miriam" w:hint="eastAsia"/>
          <w:b/>
          <w:spacing w:val="0"/>
          <w:szCs w:val="24"/>
          <w:rtl/>
        </w:rPr>
        <w:t>ובראן</w:t>
      </w:r>
      <w:r>
        <w:rPr>
          <w:rFonts w:hint="cs"/>
          <w:rtl/>
        </w:rPr>
        <w:t xml:space="preserve"> (כתוארו אז) (</w:t>
      </w:r>
      <w:r w:rsidRPr="00AE0523">
        <w:rPr>
          <w:rtl/>
        </w:rPr>
        <w:t>29.12.2015</w:t>
      </w:r>
      <w:r>
        <w:rPr>
          <w:rFonts w:hint="cs"/>
          <w:rtl/>
        </w:rPr>
        <w:t xml:space="preserve">); </w:t>
      </w:r>
      <w:r w:rsidRPr="0098287C">
        <w:rPr>
          <w:rFonts w:hint="eastAsia"/>
          <w:rtl/>
        </w:rPr>
        <w:t>ע</w:t>
      </w:r>
      <w:r w:rsidRPr="0098287C">
        <w:rPr>
          <w:rtl/>
        </w:rPr>
        <w:t>"</w:t>
      </w:r>
      <w:r w:rsidRPr="0098287C">
        <w:rPr>
          <w:rFonts w:hint="eastAsia"/>
          <w:rtl/>
        </w:rPr>
        <w:t>פ</w:t>
      </w:r>
      <w:r w:rsidRPr="0098287C">
        <w:rPr>
          <w:rtl/>
        </w:rPr>
        <w:t xml:space="preserve"> 6392/13 </w:t>
      </w:r>
      <w:r w:rsidRPr="0098287C">
        <w:rPr>
          <w:rFonts w:ascii="Miriam" w:hAnsi="Miriam" w:cs="Miriam"/>
          <w:sz w:val="18"/>
          <w:szCs w:val="24"/>
          <w:rtl/>
        </w:rPr>
        <w:t>מדינת ישראל נ' קריאף</w:t>
      </w:r>
      <w:r>
        <w:rPr>
          <w:rFonts w:hint="cs"/>
          <w:rtl/>
        </w:rPr>
        <w:t>, פסקאות</w:t>
      </w:r>
      <w:r w:rsidRPr="0098287C">
        <w:rPr>
          <w:rFonts w:hint="cs"/>
          <w:rtl/>
        </w:rPr>
        <w:t xml:space="preserve"> </w:t>
      </w:r>
      <w:r>
        <w:rPr>
          <w:rFonts w:hint="cs"/>
          <w:rtl/>
        </w:rPr>
        <w:t xml:space="preserve">100-99 </w:t>
      </w:r>
      <w:r w:rsidRPr="0098287C">
        <w:rPr>
          <w:rFonts w:hint="cs"/>
          <w:rtl/>
        </w:rPr>
        <w:t>ל</w:t>
      </w:r>
      <w:r>
        <w:rPr>
          <w:rFonts w:hint="cs"/>
          <w:rtl/>
        </w:rPr>
        <w:t>פסק דינו</w:t>
      </w:r>
      <w:r w:rsidRPr="0098287C">
        <w:rPr>
          <w:rFonts w:hint="cs"/>
          <w:rtl/>
        </w:rPr>
        <w:t xml:space="preserve"> של השופט </w:t>
      </w:r>
      <w:r w:rsidRPr="0098287C">
        <w:rPr>
          <w:rFonts w:ascii="Miriam" w:hAnsi="Miriam" w:cs="Miriam"/>
          <w:sz w:val="18"/>
          <w:szCs w:val="24"/>
          <w:rtl/>
        </w:rPr>
        <w:t>נ' סולברג</w:t>
      </w:r>
      <w:r>
        <w:rPr>
          <w:rFonts w:hint="cs"/>
          <w:sz w:val="18"/>
          <w:szCs w:val="24"/>
          <w:rtl/>
        </w:rPr>
        <w:t xml:space="preserve"> </w:t>
      </w:r>
      <w:r w:rsidRPr="0098287C">
        <w:rPr>
          <w:rtl/>
        </w:rPr>
        <w:t>(21.</w:t>
      </w:r>
      <w:r>
        <w:rPr>
          <w:rFonts w:hint="cs"/>
          <w:rtl/>
        </w:rPr>
        <w:t>1</w:t>
      </w:r>
      <w:r w:rsidRPr="0098287C">
        <w:rPr>
          <w:rtl/>
        </w:rPr>
        <w:t>.2015)</w:t>
      </w:r>
      <w:r>
        <w:rPr>
          <w:rFonts w:hint="cs"/>
          <w:rtl/>
        </w:rPr>
        <w:t>; ו</w:t>
      </w:r>
      <w:r w:rsidRPr="00755391">
        <w:rPr>
          <w:rFonts w:hint="eastAsia"/>
          <w:rtl/>
        </w:rPr>
        <w:t>ע</w:t>
      </w:r>
      <w:r w:rsidRPr="00755391">
        <w:rPr>
          <w:rtl/>
        </w:rPr>
        <w:t>"</w:t>
      </w:r>
      <w:r w:rsidRPr="00755391">
        <w:rPr>
          <w:rFonts w:hint="eastAsia"/>
          <w:rtl/>
        </w:rPr>
        <w:t>פ</w:t>
      </w:r>
      <w:r w:rsidRPr="00755391">
        <w:rPr>
          <w:rtl/>
        </w:rPr>
        <w:t xml:space="preserve"> 2921/18 </w:t>
      </w:r>
      <w:r w:rsidRPr="00755391">
        <w:rPr>
          <w:rFonts w:ascii="Century" w:hAnsi="Century" w:cs="Miriam" w:hint="eastAsia"/>
          <w:b/>
          <w:spacing w:val="0"/>
          <w:szCs w:val="24"/>
          <w:rtl/>
        </w:rPr>
        <w:t>מדינת</w:t>
      </w:r>
      <w:r w:rsidRPr="00755391">
        <w:rPr>
          <w:rFonts w:ascii="Century" w:hAnsi="Century" w:cs="Miriam"/>
          <w:b/>
          <w:spacing w:val="0"/>
          <w:szCs w:val="24"/>
          <w:rtl/>
        </w:rPr>
        <w:t xml:space="preserve"> </w:t>
      </w:r>
      <w:r w:rsidRPr="00755391">
        <w:rPr>
          <w:rFonts w:ascii="Century" w:hAnsi="Century" w:cs="Miriam" w:hint="eastAsia"/>
          <w:b/>
          <w:spacing w:val="0"/>
          <w:szCs w:val="24"/>
          <w:rtl/>
        </w:rPr>
        <w:t>ישראל</w:t>
      </w:r>
      <w:r w:rsidRPr="00755391">
        <w:rPr>
          <w:rFonts w:ascii="Century" w:hAnsi="Century" w:cs="Miriam"/>
          <w:b/>
          <w:spacing w:val="0"/>
          <w:szCs w:val="24"/>
          <w:rtl/>
        </w:rPr>
        <w:t xml:space="preserve"> </w:t>
      </w:r>
      <w:r w:rsidRPr="00755391">
        <w:rPr>
          <w:rFonts w:ascii="Century" w:hAnsi="Century" w:cs="Miriam" w:hint="eastAsia"/>
          <w:b/>
          <w:spacing w:val="0"/>
          <w:szCs w:val="24"/>
          <w:rtl/>
        </w:rPr>
        <w:t>נ</w:t>
      </w:r>
      <w:r w:rsidRPr="00755391">
        <w:rPr>
          <w:rFonts w:ascii="Century" w:hAnsi="Century" w:cs="Miriam"/>
          <w:b/>
          <w:spacing w:val="0"/>
          <w:szCs w:val="24"/>
          <w:rtl/>
        </w:rPr>
        <w:t xml:space="preserve">' </w:t>
      </w:r>
      <w:r w:rsidRPr="00755391">
        <w:rPr>
          <w:rFonts w:ascii="Century" w:hAnsi="Century" w:cs="Miriam" w:hint="eastAsia"/>
          <w:b/>
          <w:spacing w:val="0"/>
          <w:szCs w:val="24"/>
          <w:rtl/>
        </w:rPr>
        <w:t>בצלאל</w:t>
      </w:r>
      <w:r>
        <w:rPr>
          <w:rFonts w:hint="cs"/>
          <w:rtl/>
        </w:rPr>
        <w:t>, פסקה 27 לפסק דיני</w:t>
      </w:r>
      <w:r w:rsidRPr="00755391">
        <w:rPr>
          <w:rtl/>
        </w:rPr>
        <w:t xml:space="preserve"> (27.10.2019)</w:t>
      </w:r>
      <w:r>
        <w:rPr>
          <w:rFonts w:hint="cs"/>
          <w:rtl/>
        </w:rPr>
        <w:t>).</w:t>
      </w:r>
      <w:r w:rsidRPr="00AE0523">
        <w:rPr>
          <w:rtl/>
        </w:rPr>
        <w:t xml:space="preserve"> </w:t>
      </w:r>
    </w:p>
    <w:p w:rsidR="003C5F47" w:rsidRPr="00A838AC" w:rsidRDefault="003C5F47" w:rsidP="00A838AC">
      <w:pPr>
        <w:spacing w:line="480" w:lineRule="auto"/>
        <w:jc w:val="both"/>
        <w:rPr>
          <w:rFonts w:ascii="FrankRuehl" w:hAnsi="FrankRuehl" w:cs="FrankRuehl" w:hint="cs"/>
          <w:sz w:val="28"/>
          <w:szCs w:val="28"/>
          <w:rtl/>
        </w:rPr>
      </w:pPr>
      <w:bookmarkStart w:id="5" w:name="_GoBack"/>
      <w:bookmarkEnd w:id="5"/>
    </w:p>
    <w:p w:rsidR="003C5F47" w:rsidRDefault="003C5F47" w:rsidP="003C5F47">
      <w:pPr>
        <w:pStyle w:val="Ruller4"/>
      </w:pPr>
      <w:r>
        <w:rPr>
          <w:rFonts w:hint="cs"/>
          <w:rtl/>
        </w:rPr>
        <w:t xml:space="preserve"> ודוק: ספק היפותטי, תאורטי וערטילאי, אף הוא מצביע על האפשרות </w:t>
      </w:r>
      <w:r>
        <w:rPr>
          <w:rtl/>
        </w:rPr>
        <w:t>–</w:t>
      </w:r>
      <w:r>
        <w:rPr>
          <w:rFonts w:hint="cs"/>
          <w:rtl/>
        </w:rPr>
        <w:t xml:space="preserve"> אפשרות רחוקה, בלתי מאומתת, אך עדיין אפשרות </w:t>
      </w:r>
      <w:r>
        <w:rPr>
          <w:rtl/>
        </w:rPr>
        <w:t>–</w:t>
      </w:r>
      <w:r>
        <w:rPr>
          <w:rFonts w:hint="cs"/>
          <w:rtl/>
        </w:rPr>
        <w:t xml:space="preserve"> שהנאשם לא ביצע את מעשה העבירה המיוחס לו. עם זאת, אפשרות רחוקה ובלתי מאומתת של חפות אינה מהווה עילה לזיכוי הנאשם. אילו כל אפשרות כזאת </w:t>
      </w:r>
      <w:proofErr w:type="spellStart"/>
      <w:r>
        <w:rPr>
          <w:rFonts w:hint="cs"/>
          <w:rtl/>
        </w:rPr>
        <w:t>היתה</w:t>
      </w:r>
      <w:proofErr w:type="spellEnd"/>
      <w:r>
        <w:rPr>
          <w:rFonts w:hint="cs"/>
          <w:rtl/>
        </w:rPr>
        <w:t xml:space="preserve"> משמשת בידינו עילה לזיכוי הנאשם, כל הנאשמים בלי יוצא מן הכלל </w:t>
      </w:r>
      <w:r>
        <w:rPr>
          <w:rtl/>
        </w:rPr>
        <w:t>–</w:t>
      </w:r>
      <w:r>
        <w:rPr>
          <w:rFonts w:hint="cs"/>
          <w:rtl/>
        </w:rPr>
        <w:t xml:space="preserve"> לרבות אלו שמודים בפה-מלא במיוחס להם </w:t>
      </w:r>
      <w:r>
        <w:rPr>
          <w:rtl/>
        </w:rPr>
        <w:t>–</w:t>
      </w:r>
      <w:r>
        <w:rPr>
          <w:rFonts w:hint="cs"/>
          <w:rtl/>
        </w:rPr>
        <w:t xml:space="preserve"> היו מזוכים בדינם, והמשפט הפלילי כולו היה מתקיים רק בספרי חוק (ואף זאת לא להרבה </w:t>
      </w:r>
      <w:r>
        <w:rPr>
          <w:rFonts w:hint="cs"/>
          <w:rtl/>
        </w:rPr>
        <w:lastRenderedPageBreak/>
        <w:t xml:space="preserve">זמן). אשר על כן, כדי שאפשרות של חפות הנאשם תהווה עילה לזיכויו, עליה להיות קונקרטית ומאומתת על ידי ראיות. </w:t>
      </w:r>
    </w:p>
    <w:p w:rsidR="003C5F47" w:rsidRDefault="003C5F47" w:rsidP="003C5F47">
      <w:pPr>
        <w:pStyle w:val="Ruller4"/>
        <w:numPr>
          <w:ilvl w:val="0"/>
          <w:numId w:val="0"/>
        </w:numPr>
      </w:pPr>
    </w:p>
    <w:p w:rsidR="003C5F47" w:rsidRDefault="003C5F47" w:rsidP="003C5F47">
      <w:pPr>
        <w:pStyle w:val="Ruller4"/>
        <w:rPr>
          <w:rtl/>
        </w:rPr>
      </w:pPr>
      <w:r>
        <w:rPr>
          <w:rFonts w:hint="cs"/>
          <w:rtl/>
        </w:rPr>
        <w:t xml:space="preserve">בבסיסה של הבחנה יסודית זאת עומדת הבחנה חשובה נוספת המתמקדת בשני תרחישים בלתי רצויים. התרחיש הראשון הוא הרשעת שווא מקרית, שהינה תוצאה של תאונה אשר קרתה שלא בכוונת מכוון עקב כך שהספק התאורטי לגבי אשמתו של הנאשם </w:t>
      </w:r>
      <w:r>
        <w:rPr>
          <w:rtl/>
        </w:rPr>
        <w:t>–</w:t>
      </w:r>
      <w:r>
        <w:rPr>
          <w:rFonts w:hint="cs"/>
          <w:rtl/>
        </w:rPr>
        <w:t xml:space="preserve"> ספק שככלל אינו מתממש במציאות </w:t>
      </w:r>
      <w:r>
        <w:rPr>
          <w:rtl/>
        </w:rPr>
        <w:t>–</w:t>
      </w:r>
      <w:r>
        <w:rPr>
          <w:rFonts w:hint="cs"/>
          <w:rtl/>
        </w:rPr>
        <w:t xml:space="preserve"> התממש במקרהו של אותו נאשם אשר נמצא אשם בעבירה לא לו. התרחיש השני הוא הרשעת שווא שאיננה מקרית, שהינה פועל יוצא של פסק דין מרשיע שבו בית המשפט מתעלם ביודעין מקיומו של ספק מוחשי לגבי אשמתו של הנאשם. התרחיש הראשון הוא ללא צל של ספק מצער, אך יחד עם כך אין באפשרות החברה המאורגנת למנעו מבלי להפוך את עצמה לאנרכיה שנותנת חופש פעולה מלא למבצעיהם של מעשי אלימות, דיכוי ורמייה. את התרחיש השני, לעומת זאת, אפשר וראוי למנוע; ואנו מונעים אותו באמצעות הכלל שמחייב את בית המשפט לזכות את הנאשם בהתעורר ספק קונקרטי לגבי אשמתו המעוגן בחומר הראיות. בתרחיש הראשון, התאונה המקרית בדמותה של הרשעת שווא אינה פועל יוצא של מעשה שלטוני פסול אשר מסמן את הנאשם הספציפי כמי שראוי להרשיעו ולהענישו חרף האפשרות של חפותו שיש לה אימות ראייתי. בתרחיש השני, לעומת זאת, הרשעת הנאשם היא בגדר מעשה שלטוני פסול אשר מסמן את הנאשם כמי שראוי להקריבו כדי לקדם את מטרותיו של המשפט הפלילי, או מסיבה אחרת, חרף חפותו האפשרית אשר עולה מחומר הראיות. בתרחיש הראשון, מדובר בתאונה מצערת ביותר שהיא ככל התאונות הבלתי נמנעות. בתרחיש השני, מדובר בפגיעה מודעת </w:t>
      </w:r>
      <w:r>
        <w:rPr>
          <w:rtl/>
        </w:rPr>
        <w:t>–</w:t>
      </w:r>
      <w:r>
        <w:rPr>
          <w:rFonts w:hint="cs"/>
          <w:rtl/>
        </w:rPr>
        <w:t xml:space="preserve"> עד כדי מכוונת </w:t>
      </w:r>
      <w:r>
        <w:rPr>
          <w:rtl/>
        </w:rPr>
        <w:t>–</w:t>
      </w:r>
      <w:r>
        <w:rPr>
          <w:rFonts w:hint="cs"/>
          <w:rtl/>
        </w:rPr>
        <w:t xml:space="preserve"> בזכותו של אדם לחירות, לכבוד ולשוויון (ראו: </w:t>
      </w:r>
      <w:r w:rsidRPr="001D4F8F">
        <w:rPr>
          <w:rFonts w:asciiTheme="majorBidi" w:hAnsiTheme="majorBidi" w:cstheme="majorBidi"/>
          <w:smallCaps/>
        </w:rPr>
        <w:t>Alex Stein, Foundations of Evidence Law</w:t>
      </w:r>
      <w:r w:rsidRPr="001D4F8F">
        <w:rPr>
          <w:rFonts w:asciiTheme="majorBidi" w:hAnsiTheme="majorBidi" w:cstheme="majorBidi"/>
        </w:rPr>
        <w:t xml:space="preserve"> 172-8 Oxford University Press</w:t>
      </w:r>
      <w:r>
        <w:rPr>
          <w:rFonts w:asciiTheme="majorBidi" w:hAnsiTheme="majorBidi" w:cstheme="majorBidi"/>
        </w:rPr>
        <w:t>,</w:t>
      </w:r>
      <w:r w:rsidRPr="001D4F8F">
        <w:rPr>
          <w:rFonts w:asciiTheme="majorBidi" w:hAnsiTheme="majorBidi" w:cstheme="majorBidi"/>
        </w:rPr>
        <w:t xml:space="preserve"> 2005)</w:t>
      </w:r>
      <w:r>
        <w:rPr>
          <w:rFonts w:hint="cs"/>
          <w:rtl/>
        </w:rPr>
        <w:t xml:space="preserve">)). </w:t>
      </w:r>
    </w:p>
    <w:p w:rsidR="003C5F47" w:rsidRPr="001D4F8F" w:rsidRDefault="003C5F47" w:rsidP="003C5F47">
      <w:pPr>
        <w:pStyle w:val="Ruller41"/>
      </w:pPr>
    </w:p>
    <w:p w:rsidR="003C5F47" w:rsidRDefault="003C5F47" w:rsidP="003C5F47">
      <w:pPr>
        <w:pStyle w:val="Ruller4"/>
        <w:rPr>
          <w:rtl/>
        </w:rPr>
      </w:pPr>
      <w:r>
        <w:rPr>
          <w:rFonts w:hint="cs"/>
          <w:rtl/>
        </w:rPr>
        <w:t xml:space="preserve">קביעתו של שופט בית המשפט העליון כי נאשם, אשר הורשע בדינו בגדרו של פסק דין חלוט, זכאי לביטול ההרשעה ולמשפט חוזר מתוקף האמור בסעיף 31(א)(2) לחוק בתי המשפט, לא נועדה אלא למנוע את התרחיש השני. מדובר בהסרת הסיכון להרשעת חף-מפשע במצב שבו חומר הראיות מעלה, לכאורה, ספק קונקרטי ומאומת לגבי אשמתו של הנאשם בעבירה בה הוא הורשע. ברי הוא, כי אין זה נכון ואין זה אפשרי לבטל הרשעה בעטיו של ספק היפותטי, תאורטי וערטילאי לגבי אשמת הנידון. מאידך גיסא, ביטול הרשעה בשל קיומן של ראיות מהן עולה אפשרות קונקרטית של חפות, היא דבר אפשרי, נכון ואף מתחייב לנוכח האמור בסעיף 31(א)(2) לחוק בתי המשפט. </w:t>
      </w:r>
    </w:p>
    <w:p w:rsidR="003C5F47" w:rsidRPr="00F06C4B" w:rsidRDefault="003C5F47" w:rsidP="003C5F47">
      <w:pPr>
        <w:pStyle w:val="Ruller41"/>
      </w:pPr>
    </w:p>
    <w:p w:rsidR="003C5F47" w:rsidRDefault="003C5F47" w:rsidP="003C5F47">
      <w:pPr>
        <w:pStyle w:val="Ruller4"/>
        <w:rPr>
          <w:rtl/>
        </w:rPr>
      </w:pPr>
      <w:r>
        <w:rPr>
          <w:rFonts w:hint="cs"/>
          <w:rtl/>
        </w:rPr>
        <w:lastRenderedPageBreak/>
        <w:t>כל זה מביאני למסקנה כי החלטתו של שופט בית המשפט העליון לבטל את הרשעת ה</w:t>
      </w:r>
      <w:r w:rsidRPr="0030725F">
        <w:rPr>
          <w:rFonts w:hint="eastAsia"/>
          <w:rtl/>
        </w:rPr>
        <w:t>נ</w:t>
      </w:r>
      <w:r>
        <w:rPr>
          <w:rFonts w:hint="cs"/>
          <w:rtl/>
        </w:rPr>
        <w:t xml:space="preserve">ידון ולקיים בעניינו משפט חוזר מתוקף האמור בסעיף 31(א)(2) לחוק בתי המשפט </w:t>
      </w:r>
      <w:r>
        <w:rPr>
          <w:rtl/>
        </w:rPr>
        <w:t>–</w:t>
      </w:r>
      <w:r>
        <w:rPr>
          <w:rFonts w:hint="cs"/>
          <w:rtl/>
        </w:rPr>
        <w:t xml:space="preserve"> משמעה כרסום משמעותי לכאורה בחומר הראיות שבבסיס ההרשעה. כרסום זה, כמובן, אינו מוחק מניה וביה את הראיות שעומדות לחובת הנאשם במשפט החוזר: ראיות אלו ממשיכות לעמוד על תילן ולהפנות אצבע מאשימה כלפי הנאשם. ברם, אם התביעה לא תצליח להתמודד עם הכרסום שלכאורה חל בראיות אלו, באופן שימחק מכל וכל את הספק המוחשי לגבי אשמתו של הנאשם, יהא על בית המשפט אשר מקיים את המשפט החוזר לזכות את הנאשם. כך הוא בכל המשפטים החוזרים שעילתם מצויה בסעיף 31(א)(2) לחוק בתי המשפט, וכך הוא גם במקרה שלפניי. כפי שקבע המשנה לנשיאה </w:t>
      </w:r>
      <w:r w:rsidRPr="00AD6759">
        <w:rPr>
          <w:rFonts w:ascii="Century" w:hAnsi="Century" w:cs="Miriam" w:hint="cs"/>
          <w:b/>
          <w:spacing w:val="0"/>
          <w:sz w:val="22"/>
          <w:szCs w:val="24"/>
          <w:rtl/>
        </w:rPr>
        <w:t>מלצר</w:t>
      </w:r>
      <w:r>
        <w:rPr>
          <w:rFonts w:hint="cs"/>
          <w:rtl/>
        </w:rPr>
        <w:t xml:space="preserve"> בהחלטה בדבר המשפט החוזר, הראיות החדשות שעניינן עקבות הנעליים הזרות בתא השירותים שבו נרצחה המנוחה, דם המנוחה על אחת מהעקבות הללו, וכתמי דמהּ של המנוחה בתא השירותים האחר </w:t>
      </w:r>
      <w:r>
        <w:rPr>
          <w:rtl/>
        </w:rPr>
        <w:t>–</w:t>
      </w:r>
      <w:r>
        <w:rPr>
          <w:rFonts w:hint="cs"/>
          <w:rtl/>
        </w:rPr>
        <w:t xml:space="preserve"> כל אלה טעונות בירור משפטי יסודי שבמסגרתו תידרש התביעה להפריך את תזת החפות של המשיב באופן שיסיר כל ספק סביר לגבי אשמתו. בשלב הנוכחי, בצדן של ראיות לכאורה אשר מצביעות על אשמתו של המשיב במעשה הרצח המיוחס לו, ניצבות ראיות שמכרסמות לכאורה בתזת האשמה. </w:t>
      </w:r>
    </w:p>
    <w:p w:rsidR="003C5F47" w:rsidRPr="00FB09C3" w:rsidRDefault="003C5F47" w:rsidP="003C5F47">
      <w:pPr>
        <w:pStyle w:val="Ruller41"/>
      </w:pPr>
    </w:p>
    <w:p w:rsidR="003C5F47" w:rsidRDefault="003C5F47" w:rsidP="003C5F47">
      <w:pPr>
        <w:pStyle w:val="Ruller4"/>
        <w:rPr>
          <w:rtl/>
        </w:rPr>
      </w:pPr>
      <w:r>
        <w:rPr>
          <w:rFonts w:hint="cs"/>
          <w:rtl/>
        </w:rPr>
        <w:t xml:space="preserve">בבואה לחלוק על מסקנה זו, ביקשתני המדינה להשוות את קביעתו של המשנה לנשיאה </w:t>
      </w:r>
      <w:r w:rsidRPr="00FB09C3">
        <w:rPr>
          <w:rFonts w:ascii="Century" w:hAnsi="Century" w:cs="Miriam" w:hint="cs"/>
          <w:b/>
          <w:spacing w:val="0"/>
          <w:sz w:val="22"/>
          <w:szCs w:val="24"/>
          <w:rtl/>
        </w:rPr>
        <w:t>מלצר</w:t>
      </w:r>
      <w:r>
        <w:rPr>
          <w:rFonts w:hint="cs"/>
          <w:rtl/>
        </w:rPr>
        <w:t xml:space="preserve"> בדבר היתכנות גרידא לקיומן של ראיות אשר תחייבנה את זיכויו של המשיב במשפט החוזר </w:t>
      </w:r>
      <w:r>
        <w:rPr>
          <w:rtl/>
        </w:rPr>
        <w:t>–</w:t>
      </w:r>
      <w:r>
        <w:rPr>
          <w:rFonts w:hint="cs"/>
          <w:rtl/>
        </w:rPr>
        <w:t xml:space="preserve"> ולו מחמת הספק </w:t>
      </w:r>
      <w:r>
        <w:rPr>
          <w:rtl/>
        </w:rPr>
        <w:t>–</w:t>
      </w:r>
      <w:r>
        <w:rPr>
          <w:rFonts w:hint="cs"/>
          <w:rtl/>
        </w:rPr>
        <w:t xml:space="preserve"> למבחן של "אפשרות ממשית בדבר קיומו של עיוות דין", אשר אומץ על ידי הנשיא </w:t>
      </w:r>
      <w:r w:rsidRPr="008E60CD">
        <w:rPr>
          <w:rFonts w:ascii="Century" w:hAnsi="Century" w:cs="Miriam" w:hint="cs"/>
          <w:b/>
          <w:spacing w:val="0"/>
          <w:sz w:val="22"/>
          <w:szCs w:val="24"/>
          <w:rtl/>
        </w:rPr>
        <w:t>א' ברק</w:t>
      </w:r>
      <w:r>
        <w:rPr>
          <w:rFonts w:hint="cs"/>
          <w:rtl/>
        </w:rPr>
        <w:t xml:space="preserve"> </w:t>
      </w:r>
      <w:proofErr w:type="spellStart"/>
      <w:r>
        <w:rPr>
          <w:rFonts w:hint="cs"/>
          <w:rtl/>
        </w:rPr>
        <w:t>במ"ח</w:t>
      </w:r>
      <w:proofErr w:type="spellEnd"/>
      <w:r>
        <w:rPr>
          <w:rFonts w:hint="cs"/>
          <w:rtl/>
        </w:rPr>
        <w:t xml:space="preserve"> 7929/96 </w:t>
      </w:r>
      <w:proofErr w:type="spellStart"/>
      <w:r w:rsidRPr="008E60CD">
        <w:rPr>
          <w:rFonts w:ascii="Century" w:hAnsi="Century" w:cs="Miriam" w:hint="cs"/>
          <w:b/>
          <w:spacing w:val="0"/>
          <w:sz w:val="22"/>
          <w:szCs w:val="24"/>
          <w:rtl/>
        </w:rPr>
        <w:t>קוזלי</w:t>
      </w:r>
      <w:proofErr w:type="spellEnd"/>
      <w:r w:rsidRPr="008E60CD">
        <w:rPr>
          <w:rFonts w:ascii="Century" w:hAnsi="Century" w:cs="Miriam" w:hint="cs"/>
          <w:b/>
          <w:spacing w:val="0"/>
          <w:sz w:val="22"/>
          <w:szCs w:val="24"/>
          <w:rtl/>
        </w:rPr>
        <w:t xml:space="preserve"> נ' מדינת ישראל</w:t>
      </w:r>
      <w:r>
        <w:rPr>
          <w:rFonts w:hint="cs"/>
          <w:rtl/>
        </w:rPr>
        <w:t xml:space="preserve">, פ"ד </w:t>
      </w:r>
      <w:proofErr w:type="spellStart"/>
      <w:r>
        <w:rPr>
          <w:rFonts w:hint="cs"/>
          <w:rtl/>
        </w:rPr>
        <w:t>נג</w:t>
      </w:r>
      <w:proofErr w:type="spellEnd"/>
      <w:r>
        <w:rPr>
          <w:rFonts w:hint="cs"/>
          <w:rtl/>
        </w:rPr>
        <w:t xml:space="preserve">(1) 529, 571 (1999). לטענת המדינה, המשנה לנשיאה </w:t>
      </w:r>
      <w:r w:rsidRPr="008E60CD">
        <w:rPr>
          <w:rFonts w:ascii="Century" w:hAnsi="Century" w:cs="Miriam" w:hint="cs"/>
          <w:b/>
          <w:spacing w:val="0"/>
          <w:sz w:val="22"/>
          <w:szCs w:val="24"/>
          <w:rtl/>
        </w:rPr>
        <w:t>מלצר</w:t>
      </w:r>
      <w:r>
        <w:rPr>
          <w:rFonts w:hint="cs"/>
          <w:rtl/>
        </w:rPr>
        <w:t xml:space="preserve"> הציב בהחלטתו רף ראייתי נמוך יחסית לביטול הרשעה ולמתן הוראה בדבר קיומו של משפט חוזר; ולפיכך, החלטתו אינה יכולה להוות בסיס לקביעה כי חל כרסום משמעותי בראיות אשר מפלילות את המשיב. </w:t>
      </w:r>
    </w:p>
    <w:p w:rsidR="003C5F47" w:rsidRPr="008E60CD" w:rsidRDefault="003C5F47" w:rsidP="003C5F47">
      <w:pPr>
        <w:pStyle w:val="Ruller41"/>
      </w:pPr>
    </w:p>
    <w:p w:rsidR="003C5F47" w:rsidRDefault="003C5F47" w:rsidP="003C5F47">
      <w:pPr>
        <w:pStyle w:val="Ruller4"/>
        <w:rPr>
          <w:rtl/>
        </w:rPr>
      </w:pPr>
      <w:r>
        <w:rPr>
          <w:rFonts w:hint="cs"/>
          <w:rtl/>
        </w:rPr>
        <w:t xml:space="preserve">אין בידי לקבל טענה זו. ראשית, הנשיא </w:t>
      </w:r>
      <w:r w:rsidRPr="006E459D">
        <w:rPr>
          <w:rFonts w:ascii="Century" w:hAnsi="Century" w:cs="Miriam" w:hint="cs"/>
          <w:b/>
          <w:spacing w:val="0"/>
          <w:sz w:val="22"/>
          <w:szCs w:val="24"/>
          <w:rtl/>
        </w:rPr>
        <w:t>ברק</w:t>
      </w:r>
      <w:r>
        <w:rPr>
          <w:rFonts w:hint="cs"/>
          <w:rtl/>
        </w:rPr>
        <w:t xml:space="preserve"> קבע בהחלטתו הנ"ל כי עליו להיעתר לבקשה להורות על משפט חוזר "</w:t>
      </w:r>
      <w:r w:rsidRPr="008E60CD">
        <w:rPr>
          <w:rFonts w:hint="eastAsia"/>
          <w:rtl/>
        </w:rPr>
        <w:t>גם</w:t>
      </w:r>
      <w:r w:rsidRPr="008E60CD">
        <w:rPr>
          <w:rtl/>
        </w:rPr>
        <w:t xml:space="preserve"> </w:t>
      </w:r>
      <w:r w:rsidRPr="008E60CD">
        <w:rPr>
          <w:rFonts w:hint="eastAsia"/>
          <w:rtl/>
        </w:rPr>
        <w:t>אם</w:t>
      </w:r>
      <w:r w:rsidRPr="008E60CD">
        <w:rPr>
          <w:rtl/>
        </w:rPr>
        <w:t xml:space="preserve"> </w:t>
      </w:r>
      <w:r w:rsidRPr="008E60CD">
        <w:rPr>
          <w:rFonts w:hint="eastAsia"/>
          <w:rtl/>
        </w:rPr>
        <w:t>נאמץ</w:t>
      </w:r>
      <w:r w:rsidRPr="008E60CD">
        <w:rPr>
          <w:rtl/>
        </w:rPr>
        <w:t xml:space="preserve"> </w:t>
      </w:r>
      <w:r w:rsidRPr="008E60CD">
        <w:rPr>
          <w:rFonts w:hint="eastAsia"/>
          <w:rtl/>
        </w:rPr>
        <w:t>את</w:t>
      </w:r>
      <w:r w:rsidRPr="008E60CD">
        <w:rPr>
          <w:rtl/>
        </w:rPr>
        <w:t xml:space="preserve"> </w:t>
      </w:r>
      <w:r w:rsidRPr="008E60CD">
        <w:rPr>
          <w:rFonts w:hint="eastAsia"/>
          <w:rtl/>
        </w:rPr>
        <w:t>אמת</w:t>
      </w:r>
      <w:r w:rsidRPr="008E60CD">
        <w:rPr>
          <w:rtl/>
        </w:rPr>
        <w:t>-</w:t>
      </w:r>
      <w:r w:rsidRPr="008E60CD">
        <w:rPr>
          <w:rFonts w:hint="eastAsia"/>
          <w:rtl/>
        </w:rPr>
        <w:t>המידה</w:t>
      </w:r>
      <w:r w:rsidRPr="008E60CD">
        <w:rPr>
          <w:rtl/>
        </w:rPr>
        <w:t xml:space="preserve"> </w:t>
      </w:r>
      <w:r w:rsidRPr="008E60CD">
        <w:rPr>
          <w:rFonts w:hint="eastAsia"/>
          <w:rtl/>
        </w:rPr>
        <w:t>המחמירה</w:t>
      </w:r>
      <w:r w:rsidRPr="008E60CD">
        <w:rPr>
          <w:rtl/>
        </w:rPr>
        <w:t xml:space="preserve"> </w:t>
      </w:r>
      <w:r w:rsidRPr="008E60CD">
        <w:rPr>
          <w:rFonts w:hint="eastAsia"/>
          <w:rtl/>
        </w:rPr>
        <w:t>שהציע</w:t>
      </w:r>
      <w:r w:rsidRPr="008E60CD">
        <w:rPr>
          <w:rtl/>
        </w:rPr>
        <w:t xml:space="preserve"> </w:t>
      </w:r>
      <w:r w:rsidRPr="008E60CD">
        <w:rPr>
          <w:rFonts w:hint="eastAsia"/>
          <w:rtl/>
        </w:rPr>
        <w:t>היועץ</w:t>
      </w:r>
      <w:r w:rsidRPr="008E60CD">
        <w:rPr>
          <w:rtl/>
        </w:rPr>
        <w:t xml:space="preserve"> </w:t>
      </w:r>
      <w:r w:rsidRPr="008E60CD">
        <w:rPr>
          <w:rFonts w:hint="eastAsia"/>
          <w:rtl/>
        </w:rPr>
        <w:t>המשפטי</w:t>
      </w:r>
      <w:r w:rsidRPr="008E60CD">
        <w:rPr>
          <w:rtl/>
        </w:rPr>
        <w:t xml:space="preserve"> </w:t>
      </w:r>
      <w:r w:rsidRPr="008E60CD">
        <w:rPr>
          <w:rFonts w:hint="eastAsia"/>
          <w:rtl/>
        </w:rPr>
        <w:t>לממשלה</w:t>
      </w:r>
      <w:r w:rsidRPr="008E60CD">
        <w:rPr>
          <w:rtl/>
        </w:rPr>
        <w:t xml:space="preserve">, </w:t>
      </w:r>
      <w:r w:rsidRPr="008E60CD">
        <w:rPr>
          <w:rFonts w:hint="eastAsia"/>
          <w:rtl/>
        </w:rPr>
        <w:t>ולפיה</w:t>
      </w:r>
      <w:r w:rsidRPr="008E60CD">
        <w:rPr>
          <w:rtl/>
        </w:rPr>
        <w:t xml:space="preserve"> </w:t>
      </w:r>
      <w:r w:rsidRPr="008E60CD">
        <w:rPr>
          <w:rFonts w:hint="eastAsia"/>
          <w:rtl/>
        </w:rPr>
        <w:t>שומה</w:t>
      </w:r>
      <w:r w:rsidRPr="008E60CD">
        <w:rPr>
          <w:rtl/>
        </w:rPr>
        <w:t xml:space="preserve"> </w:t>
      </w:r>
      <w:r w:rsidRPr="008E60CD">
        <w:rPr>
          <w:rFonts w:hint="eastAsia"/>
          <w:rtl/>
        </w:rPr>
        <w:t>עליי</w:t>
      </w:r>
      <w:r w:rsidRPr="008E60CD">
        <w:rPr>
          <w:rtl/>
        </w:rPr>
        <w:t xml:space="preserve"> </w:t>
      </w:r>
      <w:r w:rsidRPr="008E60CD">
        <w:rPr>
          <w:rFonts w:hint="eastAsia"/>
          <w:rtl/>
        </w:rPr>
        <w:t>להשתכנע</w:t>
      </w:r>
      <w:r w:rsidRPr="008E60CD">
        <w:rPr>
          <w:rtl/>
        </w:rPr>
        <w:t xml:space="preserve"> </w:t>
      </w:r>
      <w:r w:rsidRPr="008E60CD">
        <w:rPr>
          <w:rFonts w:hint="eastAsia"/>
          <w:rtl/>
        </w:rPr>
        <w:t>במידה</w:t>
      </w:r>
      <w:r w:rsidRPr="008E60CD">
        <w:rPr>
          <w:rtl/>
        </w:rPr>
        <w:t xml:space="preserve"> </w:t>
      </w:r>
      <w:r w:rsidRPr="008E60CD">
        <w:rPr>
          <w:rFonts w:hint="eastAsia"/>
          <w:rtl/>
        </w:rPr>
        <w:t>של</w:t>
      </w:r>
      <w:r w:rsidRPr="008E60CD">
        <w:rPr>
          <w:rtl/>
        </w:rPr>
        <w:t xml:space="preserve"> "</w:t>
      </w:r>
      <w:r w:rsidRPr="008E60CD">
        <w:rPr>
          <w:rFonts w:hint="eastAsia"/>
          <w:rtl/>
        </w:rPr>
        <w:t>אפשרות</w:t>
      </w:r>
      <w:r w:rsidRPr="008E60CD">
        <w:rPr>
          <w:rtl/>
        </w:rPr>
        <w:t xml:space="preserve"> </w:t>
      </w:r>
      <w:r w:rsidRPr="008E60CD">
        <w:rPr>
          <w:rFonts w:hint="eastAsia"/>
          <w:rtl/>
        </w:rPr>
        <w:t>ממשית</w:t>
      </w:r>
      <w:r w:rsidRPr="008E60CD">
        <w:rPr>
          <w:rtl/>
        </w:rPr>
        <w:t xml:space="preserve">" </w:t>
      </w:r>
      <w:r w:rsidRPr="008E60CD">
        <w:rPr>
          <w:rFonts w:hint="eastAsia"/>
          <w:rtl/>
        </w:rPr>
        <w:t>בדבר</w:t>
      </w:r>
      <w:r w:rsidRPr="008E60CD">
        <w:rPr>
          <w:rtl/>
        </w:rPr>
        <w:t xml:space="preserve"> </w:t>
      </w:r>
      <w:r w:rsidRPr="008E60CD">
        <w:rPr>
          <w:rFonts w:hint="eastAsia"/>
          <w:rtl/>
        </w:rPr>
        <w:t>קיומו</w:t>
      </w:r>
      <w:r w:rsidRPr="008E60CD">
        <w:rPr>
          <w:rtl/>
        </w:rPr>
        <w:t xml:space="preserve"> </w:t>
      </w:r>
      <w:r w:rsidRPr="008E60CD">
        <w:rPr>
          <w:rFonts w:hint="eastAsia"/>
          <w:rtl/>
        </w:rPr>
        <w:t>של</w:t>
      </w:r>
      <w:r w:rsidRPr="008E60CD">
        <w:rPr>
          <w:rtl/>
        </w:rPr>
        <w:t xml:space="preserve"> </w:t>
      </w:r>
      <w:r w:rsidRPr="008E60CD">
        <w:rPr>
          <w:rFonts w:hint="eastAsia"/>
          <w:rtl/>
        </w:rPr>
        <w:t>עיוות</w:t>
      </w:r>
      <w:r w:rsidRPr="008E60CD">
        <w:rPr>
          <w:rtl/>
        </w:rPr>
        <w:t xml:space="preserve"> </w:t>
      </w:r>
      <w:r w:rsidRPr="008E60CD">
        <w:rPr>
          <w:rFonts w:hint="eastAsia"/>
          <w:rtl/>
        </w:rPr>
        <w:t>דין</w:t>
      </w:r>
      <w:r>
        <w:rPr>
          <w:rFonts w:hint="cs"/>
          <w:rtl/>
        </w:rPr>
        <w:t xml:space="preserve">" </w:t>
      </w:r>
      <w:r>
        <w:rPr>
          <w:rtl/>
        </w:rPr>
        <w:t>–</w:t>
      </w:r>
      <w:r>
        <w:rPr>
          <w:rFonts w:hint="cs"/>
          <w:rtl/>
        </w:rPr>
        <w:t xml:space="preserve"> וזאת, "</w:t>
      </w:r>
      <w:r w:rsidRPr="00B550AA">
        <w:rPr>
          <w:rFonts w:hint="eastAsia"/>
          <w:rtl/>
        </w:rPr>
        <w:t>בלי</w:t>
      </w:r>
      <w:r w:rsidRPr="00B550AA">
        <w:rPr>
          <w:rtl/>
        </w:rPr>
        <w:t xml:space="preserve"> </w:t>
      </w:r>
      <w:r w:rsidRPr="00B550AA">
        <w:rPr>
          <w:rFonts w:hint="eastAsia"/>
          <w:rtl/>
        </w:rPr>
        <w:t>להכריע</w:t>
      </w:r>
      <w:r w:rsidRPr="00B550AA">
        <w:rPr>
          <w:rtl/>
        </w:rPr>
        <w:t xml:space="preserve"> </w:t>
      </w:r>
      <w:r w:rsidRPr="00B550AA">
        <w:rPr>
          <w:rFonts w:hint="eastAsia"/>
          <w:rtl/>
        </w:rPr>
        <w:t>בסוגיה</w:t>
      </w:r>
      <w:r w:rsidRPr="00B550AA">
        <w:rPr>
          <w:rtl/>
        </w:rPr>
        <w:t xml:space="preserve"> </w:t>
      </w:r>
      <w:r w:rsidRPr="00B550AA">
        <w:rPr>
          <w:rFonts w:hint="eastAsia"/>
          <w:rtl/>
        </w:rPr>
        <w:t>זו</w:t>
      </w:r>
      <w:r>
        <w:rPr>
          <w:rFonts w:hint="cs"/>
          <w:rtl/>
        </w:rPr>
        <w:t xml:space="preserve">" (ראו: שם, פסקה 74). הווה אומר: הנשיא </w:t>
      </w:r>
      <w:r w:rsidRPr="006E459D">
        <w:rPr>
          <w:rFonts w:ascii="Century" w:hAnsi="Century" w:cs="Miriam" w:hint="cs"/>
          <w:b/>
          <w:spacing w:val="0"/>
          <w:sz w:val="22"/>
          <w:szCs w:val="24"/>
          <w:rtl/>
        </w:rPr>
        <w:t>ברק</w:t>
      </w:r>
      <w:r>
        <w:rPr>
          <w:rFonts w:hint="cs"/>
          <w:rtl/>
        </w:rPr>
        <w:t xml:space="preserve"> לא אימץ את המבחן של "אפשרות ממשית". שנית, קביעתו של הנשיא </w:t>
      </w:r>
      <w:r w:rsidRPr="00867019">
        <w:rPr>
          <w:rFonts w:ascii="Century" w:hAnsi="Century" w:cs="Miriam" w:hint="cs"/>
          <w:b/>
          <w:spacing w:val="0"/>
          <w:sz w:val="22"/>
          <w:szCs w:val="24"/>
          <w:rtl/>
        </w:rPr>
        <w:t>ברק</w:t>
      </w:r>
      <w:r>
        <w:rPr>
          <w:rFonts w:hint="cs"/>
          <w:rtl/>
        </w:rPr>
        <w:t xml:space="preserve"> התייחסה לאמור בסעיף 31(א)(4) לחוק בתי המשפט אשר מקים עילה לקיומו של משפט חוזר כאשר "</w:t>
      </w:r>
      <w:r w:rsidRPr="00B550AA">
        <w:rPr>
          <w:rFonts w:hint="eastAsia"/>
          <w:rtl/>
        </w:rPr>
        <w:t>נתעורר</w:t>
      </w:r>
      <w:r w:rsidRPr="00B550AA">
        <w:rPr>
          <w:rtl/>
        </w:rPr>
        <w:t xml:space="preserve"> </w:t>
      </w:r>
      <w:r w:rsidRPr="00B550AA">
        <w:rPr>
          <w:rFonts w:hint="eastAsia"/>
          <w:rtl/>
        </w:rPr>
        <w:t>חשש</w:t>
      </w:r>
      <w:r w:rsidRPr="00B550AA">
        <w:rPr>
          <w:rtl/>
        </w:rPr>
        <w:t xml:space="preserve"> </w:t>
      </w:r>
      <w:r w:rsidRPr="00B550AA">
        <w:rPr>
          <w:rFonts w:hint="eastAsia"/>
          <w:rtl/>
        </w:rPr>
        <w:t>של</w:t>
      </w:r>
      <w:r w:rsidRPr="00B550AA">
        <w:rPr>
          <w:rtl/>
        </w:rPr>
        <w:t xml:space="preserve"> </w:t>
      </w:r>
      <w:r w:rsidRPr="00B550AA">
        <w:rPr>
          <w:rFonts w:hint="eastAsia"/>
          <w:rtl/>
        </w:rPr>
        <w:t>ממש</w:t>
      </w:r>
      <w:r w:rsidRPr="00B550AA">
        <w:rPr>
          <w:rtl/>
        </w:rPr>
        <w:t xml:space="preserve"> </w:t>
      </w:r>
      <w:r w:rsidRPr="00B550AA">
        <w:rPr>
          <w:rFonts w:hint="eastAsia"/>
          <w:rtl/>
        </w:rPr>
        <w:t>כי</w:t>
      </w:r>
      <w:r w:rsidRPr="00B550AA">
        <w:rPr>
          <w:rtl/>
        </w:rPr>
        <w:t xml:space="preserve"> </w:t>
      </w:r>
      <w:r w:rsidRPr="00B550AA">
        <w:rPr>
          <w:rFonts w:hint="eastAsia"/>
          <w:rtl/>
        </w:rPr>
        <w:t>בהרשעה</w:t>
      </w:r>
      <w:r w:rsidRPr="00B550AA">
        <w:rPr>
          <w:rtl/>
        </w:rPr>
        <w:t xml:space="preserve"> </w:t>
      </w:r>
      <w:r w:rsidRPr="00B550AA">
        <w:rPr>
          <w:rFonts w:hint="eastAsia"/>
          <w:rtl/>
        </w:rPr>
        <w:t>נגרם</w:t>
      </w:r>
      <w:r w:rsidRPr="00B550AA">
        <w:rPr>
          <w:rtl/>
        </w:rPr>
        <w:t xml:space="preserve"> </w:t>
      </w:r>
      <w:r w:rsidRPr="00B550AA">
        <w:rPr>
          <w:rFonts w:hint="eastAsia"/>
          <w:rtl/>
        </w:rPr>
        <w:t>לנידון</w:t>
      </w:r>
      <w:r w:rsidRPr="00B550AA">
        <w:rPr>
          <w:rtl/>
        </w:rPr>
        <w:t xml:space="preserve"> </w:t>
      </w:r>
      <w:r w:rsidRPr="00B550AA">
        <w:rPr>
          <w:rFonts w:hint="eastAsia"/>
          <w:rtl/>
        </w:rPr>
        <w:t>עיוות</w:t>
      </w:r>
      <w:r w:rsidRPr="00B550AA">
        <w:rPr>
          <w:rtl/>
        </w:rPr>
        <w:t xml:space="preserve"> </w:t>
      </w:r>
      <w:r w:rsidRPr="00B550AA">
        <w:rPr>
          <w:rFonts w:hint="eastAsia"/>
          <w:rtl/>
        </w:rPr>
        <w:t>דין</w:t>
      </w:r>
      <w:r>
        <w:rPr>
          <w:rFonts w:hint="cs"/>
          <w:rtl/>
        </w:rPr>
        <w:t xml:space="preserve">" </w:t>
      </w:r>
      <w:r>
        <w:rPr>
          <w:rtl/>
        </w:rPr>
        <w:t>–</w:t>
      </w:r>
      <w:r>
        <w:rPr>
          <w:rFonts w:hint="cs"/>
          <w:rtl/>
        </w:rPr>
        <w:t xml:space="preserve"> בעוד שענייננו-שלנו נטוע בעילה אחרת: עילה שעניינה "</w:t>
      </w:r>
      <w:r w:rsidRPr="00B550AA">
        <w:rPr>
          <w:rFonts w:hint="eastAsia"/>
          <w:rtl/>
        </w:rPr>
        <w:t>ראיות</w:t>
      </w:r>
      <w:r>
        <w:rPr>
          <w:rFonts w:hint="cs"/>
          <w:rtl/>
        </w:rPr>
        <w:t xml:space="preserve"> ה</w:t>
      </w:r>
      <w:r w:rsidRPr="00B550AA">
        <w:rPr>
          <w:rFonts w:hint="eastAsia"/>
          <w:rtl/>
        </w:rPr>
        <w:t>עשויות</w:t>
      </w:r>
      <w:r w:rsidRPr="00B550AA">
        <w:rPr>
          <w:rtl/>
        </w:rPr>
        <w:t xml:space="preserve"> </w:t>
      </w:r>
      <w:r>
        <w:rPr>
          <w:rFonts w:hint="cs"/>
          <w:rtl/>
        </w:rPr>
        <w:t xml:space="preserve">[...] </w:t>
      </w:r>
      <w:r w:rsidRPr="00B550AA">
        <w:rPr>
          <w:rFonts w:hint="eastAsia"/>
          <w:rtl/>
        </w:rPr>
        <w:t>לשנות</w:t>
      </w:r>
      <w:r w:rsidRPr="00B550AA">
        <w:rPr>
          <w:rtl/>
        </w:rPr>
        <w:t xml:space="preserve"> </w:t>
      </w:r>
      <w:r w:rsidRPr="00B550AA">
        <w:rPr>
          <w:rFonts w:hint="eastAsia"/>
          <w:rtl/>
        </w:rPr>
        <w:t>את</w:t>
      </w:r>
      <w:r w:rsidRPr="00B550AA">
        <w:rPr>
          <w:rtl/>
        </w:rPr>
        <w:t xml:space="preserve"> </w:t>
      </w:r>
      <w:r w:rsidRPr="00B550AA">
        <w:rPr>
          <w:rFonts w:hint="eastAsia"/>
          <w:rtl/>
        </w:rPr>
        <w:lastRenderedPageBreak/>
        <w:t>תוצאות</w:t>
      </w:r>
      <w:r w:rsidRPr="00B550AA">
        <w:rPr>
          <w:rtl/>
        </w:rPr>
        <w:t xml:space="preserve"> </w:t>
      </w:r>
      <w:r w:rsidRPr="00B550AA">
        <w:rPr>
          <w:rFonts w:hint="eastAsia"/>
          <w:rtl/>
        </w:rPr>
        <w:t>המשפט</w:t>
      </w:r>
      <w:r w:rsidRPr="00B550AA">
        <w:rPr>
          <w:rtl/>
        </w:rPr>
        <w:t xml:space="preserve"> </w:t>
      </w:r>
      <w:r w:rsidRPr="00B550AA">
        <w:rPr>
          <w:rFonts w:hint="eastAsia"/>
          <w:rtl/>
        </w:rPr>
        <w:t>לטובת</w:t>
      </w:r>
      <w:r w:rsidRPr="00B550AA">
        <w:rPr>
          <w:rtl/>
        </w:rPr>
        <w:t xml:space="preserve"> </w:t>
      </w:r>
      <w:r w:rsidRPr="00B550AA">
        <w:rPr>
          <w:rFonts w:hint="eastAsia"/>
          <w:rtl/>
        </w:rPr>
        <w:t>הנידון</w:t>
      </w:r>
      <w:r>
        <w:rPr>
          <w:rFonts w:hint="cs"/>
          <w:rtl/>
        </w:rPr>
        <w:t>", כאמור בסעיף 31(א)(2) לאותו חוק</w:t>
      </w:r>
      <w:r w:rsidRPr="00B550AA">
        <w:rPr>
          <w:rtl/>
        </w:rPr>
        <w:t>.</w:t>
      </w:r>
      <w:r>
        <w:rPr>
          <w:rFonts w:hint="cs"/>
          <w:rtl/>
        </w:rPr>
        <w:t xml:space="preserve"> שלישית, וזה העיקר: ההחלטה בדבר המשפט החוזר שניתנה על ידי המשנה לנשיאה </w:t>
      </w:r>
      <w:r w:rsidRPr="006E459D">
        <w:rPr>
          <w:rFonts w:ascii="Century" w:hAnsi="Century" w:cs="Miriam" w:hint="cs"/>
          <w:b/>
          <w:spacing w:val="0"/>
          <w:sz w:val="22"/>
          <w:szCs w:val="24"/>
          <w:rtl/>
        </w:rPr>
        <w:t>מלצר</w:t>
      </w:r>
      <w:r>
        <w:rPr>
          <w:rFonts w:hint="cs"/>
          <w:rtl/>
        </w:rPr>
        <w:t xml:space="preserve"> קבעה, בשורתה התחתונה, כי העילה לביטול הרשעתו של המשיב ולקיומו של משפט חוזר בעניינו מתקיימת מתוקף האמור בסעיף 31(א)(2) לחוק בתי המשפט; </w:t>
      </w:r>
      <w:r w:rsidRPr="00143EF1">
        <w:rPr>
          <w:rFonts w:ascii="Century" w:hAnsi="Century" w:cs="Miriam" w:hint="cs"/>
          <w:b/>
          <w:spacing w:val="0"/>
          <w:sz w:val="22"/>
          <w:szCs w:val="24"/>
          <w:rtl/>
        </w:rPr>
        <w:t>ולקביעה זו יש משמעות נורמטיבית</w:t>
      </w:r>
      <w:r>
        <w:rPr>
          <w:rFonts w:hint="cs"/>
          <w:rtl/>
        </w:rPr>
        <w:t xml:space="preserve"> </w:t>
      </w:r>
      <w:r w:rsidRPr="00143EF1">
        <w:rPr>
          <w:rFonts w:ascii="Century" w:hAnsi="Century" w:cs="Miriam" w:hint="cs"/>
          <w:b/>
          <w:spacing w:val="0"/>
          <w:sz w:val="22"/>
          <w:szCs w:val="24"/>
          <w:rtl/>
        </w:rPr>
        <w:t>עצמאית</w:t>
      </w:r>
      <w:r>
        <w:rPr>
          <w:rFonts w:hint="cs"/>
          <w:rtl/>
        </w:rPr>
        <w:t xml:space="preserve">. כפי שכבר הסברתי, משמעותה הנורמטיבית של קביעה כאמור היא כרסום לכאורה במארג הראיות המפלילות את המשיב. </w:t>
      </w:r>
    </w:p>
    <w:p w:rsidR="003C5F47" w:rsidRPr="006E459D" w:rsidRDefault="003C5F47" w:rsidP="003C5F47">
      <w:pPr>
        <w:pStyle w:val="Ruller41"/>
      </w:pPr>
    </w:p>
    <w:p w:rsidR="003C5F47" w:rsidRDefault="003C5F47" w:rsidP="003C5F47">
      <w:pPr>
        <w:pStyle w:val="Ruller4"/>
        <w:rPr>
          <w:rtl/>
        </w:rPr>
      </w:pPr>
      <w:r>
        <w:rPr>
          <w:rFonts w:hint="cs"/>
          <w:rtl/>
        </w:rPr>
        <w:t xml:space="preserve">מה שקובע בענייננו-שלנו הוא המשמעות הנורמטיבית של ההחלטה בדבר המשפט החוזר, להבדיל מפרשנותה הפסיכולוגית או האחרת של אותה החלטה. מסיבה זו, אין לי אלא לדחות גם את טענתו של בא-כוח המשיב אשר גורס כי המשנה לנשיאה </w:t>
      </w:r>
      <w:r w:rsidRPr="006E459D">
        <w:rPr>
          <w:rFonts w:ascii="Century" w:hAnsi="Century" w:cs="Miriam" w:hint="cs"/>
          <w:b/>
          <w:spacing w:val="0"/>
          <w:sz w:val="22"/>
          <w:szCs w:val="24"/>
          <w:rtl/>
        </w:rPr>
        <w:t>מלצר</w:t>
      </w:r>
      <w:r>
        <w:rPr>
          <w:rFonts w:hint="cs"/>
          <w:rtl/>
        </w:rPr>
        <w:t xml:space="preserve"> השתמש בהחלטתו, בכוונת מכוון, בלשון זהירה מאד אשר המעיטה מעוצמתן של ראיות החפות כדי שהחלטתו לא תפעיל שום לחץ ולא תשפיע על כפות המאזניים במשפט החוזר אשר עתיד להתקיים בבית המשפט המחוזי נצרת. המשנה לנשיאה </w:t>
      </w:r>
      <w:r w:rsidRPr="00B44F43">
        <w:rPr>
          <w:rFonts w:ascii="Century" w:hAnsi="Century" w:cs="Miriam" w:hint="cs"/>
          <w:b/>
          <w:spacing w:val="0"/>
          <w:sz w:val="22"/>
          <w:szCs w:val="24"/>
          <w:rtl/>
        </w:rPr>
        <w:t>מלצר</w:t>
      </w:r>
      <w:r>
        <w:rPr>
          <w:rFonts w:hint="cs"/>
          <w:rtl/>
        </w:rPr>
        <w:t xml:space="preserve"> לא קבע בהחלטתו אלא זאת: במקרה דנן קמה עילה לקיומו של משפט חוזר כהגדרתה בסעיף 31(א)(2) לחוק בתי המשפט </w:t>
      </w:r>
      <w:r>
        <w:rPr>
          <w:rtl/>
        </w:rPr>
        <w:t>–</w:t>
      </w:r>
      <w:r>
        <w:rPr>
          <w:rFonts w:hint="cs"/>
          <w:rtl/>
        </w:rPr>
        <w:t xml:space="preserve"> לא פחות מכך, ואף לא יותר מכך. </w:t>
      </w:r>
    </w:p>
    <w:p w:rsidR="003C5F47" w:rsidRPr="009B35B5" w:rsidRDefault="003C5F47" w:rsidP="003C5F47">
      <w:pPr>
        <w:pStyle w:val="Ruller41"/>
      </w:pPr>
    </w:p>
    <w:p w:rsidR="003C5F47" w:rsidRPr="006E4474" w:rsidRDefault="003C5F47" w:rsidP="003C5F47">
      <w:pPr>
        <w:pStyle w:val="Ruller4"/>
      </w:pPr>
      <w:r>
        <w:rPr>
          <w:rFonts w:hint="cs"/>
          <w:rtl/>
        </w:rPr>
        <w:t xml:space="preserve">אשר על כן, הנני קובע כי בראיות שעל בסיסן תבקש המדינה להרשיע את המשיב במשפט החוזר חל </w:t>
      </w:r>
      <w:r>
        <w:rPr>
          <w:rtl/>
        </w:rPr>
        <w:t>–</w:t>
      </w:r>
      <w:r>
        <w:rPr>
          <w:rFonts w:hint="cs"/>
          <w:rtl/>
        </w:rPr>
        <w:t xml:space="preserve"> לכאורה </w:t>
      </w:r>
      <w:r>
        <w:rPr>
          <w:rtl/>
        </w:rPr>
        <w:t>–</w:t>
      </w:r>
      <w:r>
        <w:rPr>
          <w:rFonts w:hint="cs"/>
          <w:rtl/>
        </w:rPr>
        <w:t xml:space="preserve"> כרסום משמעותי, על כל המשתמע מכך לעניין המעצר עד תום ההליכים.</w:t>
      </w:r>
    </w:p>
    <w:p w:rsidR="003C5F47" w:rsidRDefault="003C5F47" w:rsidP="003C5F47">
      <w:pPr>
        <w:pStyle w:val="Ruller4"/>
        <w:numPr>
          <w:ilvl w:val="0"/>
          <w:numId w:val="0"/>
        </w:numPr>
        <w:rPr>
          <w:rtl/>
        </w:rPr>
      </w:pPr>
    </w:p>
    <w:p w:rsidR="003C5F47" w:rsidRDefault="003C5F47" w:rsidP="003C5F47">
      <w:pPr>
        <w:pStyle w:val="Ruller41"/>
        <w:rPr>
          <w:rFonts w:ascii="Century" w:hAnsi="Century" w:cs="Miriam"/>
          <w:b/>
          <w:spacing w:val="0"/>
          <w:szCs w:val="24"/>
          <w:rtl/>
        </w:rPr>
      </w:pPr>
      <w:r w:rsidRPr="00D873DC">
        <w:rPr>
          <w:rFonts w:ascii="Century" w:hAnsi="Century" w:cs="Miriam" w:hint="cs"/>
          <w:b/>
          <w:spacing w:val="0"/>
          <w:szCs w:val="24"/>
          <w:rtl/>
        </w:rPr>
        <w:t xml:space="preserve">השלכות ההחלטה </w:t>
      </w:r>
      <w:r>
        <w:rPr>
          <w:rFonts w:ascii="Century" w:hAnsi="Century" w:cs="Miriam" w:hint="cs"/>
          <w:b/>
          <w:spacing w:val="0"/>
          <w:szCs w:val="24"/>
          <w:rtl/>
        </w:rPr>
        <w:t>בדבר ביטול הרשעת הנאשם</w:t>
      </w:r>
      <w:r w:rsidRPr="00D873DC">
        <w:rPr>
          <w:rFonts w:ascii="Century" w:hAnsi="Century" w:cs="Miriam" w:hint="cs"/>
          <w:b/>
          <w:spacing w:val="0"/>
          <w:szCs w:val="24"/>
          <w:rtl/>
        </w:rPr>
        <w:t xml:space="preserve"> וקיומו של משפט חוזר על </w:t>
      </w:r>
      <w:r>
        <w:rPr>
          <w:rFonts w:ascii="Century" w:hAnsi="Century" w:cs="Miriam" w:hint="cs"/>
          <w:b/>
          <w:spacing w:val="0"/>
          <w:szCs w:val="24"/>
          <w:rtl/>
        </w:rPr>
        <w:t>העילות למעצרו</w:t>
      </w:r>
    </w:p>
    <w:p w:rsidR="003C5F47" w:rsidRDefault="003C5F47" w:rsidP="003C5F47">
      <w:pPr>
        <w:pStyle w:val="Ruller41"/>
        <w:rPr>
          <w:rFonts w:ascii="Century" w:hAnsi="Century" w:cs="Miriam"/>
          <w:b/>
          <w:spacing w:val="0"/>
          <w:szCs w:val="24"/>
          <w:rtl/>
        </w:rPr>
      </w:pPr>
    </w:p>
    <w:p w:rsidR="003C5F47" w:rsidRDefault="003C5F47" w:rsidP="003C5F47">
      <w:pPr>
        <w:pStyle w:val="Ruller4"/>
        <w:rPr>
          <w:rtl/>
        </w:rPr>
      </w:pPr>
      <w:r w:rsidRPr="00BF41CC">
        <w:rPr>
          <w:rFonts w:hint="eastAsia"/>
          <w:rtl/>
        </w:rPr>
        <w:t>החלטה</w:t>
      </w:r>
      <w:r w:rsidRPr="00BF41CC">
        <w:rPr>
          <w:rtl/>
        </w:rPr>
        <w:t xml:space="preserve"> </w:t>
      </w:r>
      <w:r>
        <w:rPr>
          <w:rFonts w:hint="cs"/>
          <w:rtl/>
        </w:rPr>
        <w:t xml:space="preserve">שיפוטית </w:t>
      </w:r>
      <w:r w:rsidRPr="00BF41CC">
        <w:rPr>
          <w:rFonts w:hint="eastAsia"/>
          <w:rtl/>
        </w:rPr>
        <w:t>בדבר</w:t>
      </w:r>
      <w:r w:rsidRPr="00BF41CC">
        <w:rPr>
          <w:rtl/>
        </w:rPr>
        <w:t xml:space="preserve"> </w:t>
      </w:r>
      <w:r w:rsidRPr="00BF41CC">
        <w:rPr>
          <w:rFonts w:hint="eastAsia"/>
          <w:rtl/>
        </w:rPr>
        <w:t>ביטול</w:t>
      </w:r>
      <w:r w:rsidRPr="00BF41CC">
        <w:rPr>
          <w:rtl/>
        </w:rPr>
        <w:t xml:space="preserve"> </w:t>
      </w:r>
      <w:r w:rsidRPr="00BF41CC">
        <w:rPr>
          <w:rFonts w:hint="eastAsia"/>
          <w:rtl/>
        </w:rPr>
        <w:t>הרשעת</w:t>
      </w:r>
      <w:r w:rsidRPr="00BF41CC">
        <w:rPr>
          <w:rtl/>
        </w:rPr>
        <w:t xml:space="preserve"> </w:t>
      </w:r>
      <w:r>
        <w:rPr>
          <w:rFonts w:hint="cs"/>
          <w:rtl/>
        </w:rPr>
        <w:t>הנאשם</w:t>
      </w:r>
      <w:r w:rsidRPr="00BF41CC">
        <w:rPr>
          <w:rtl/>
        </w:rPr>
        <w:t xml:space="preserve"> </w:t>
      </w:r>
      <w:r w:rsidRPr="00BF41CC">
        <w:rPr>
          <w:rFonts w:hint="eastAsia"/>
          <w:rtl/>
        </w:rPr>
        <w:t>וקיומו</w:t>
      </w:r>
      <w:r w:rsidRPr="00BF41CC">
        <w:rPr>
          <w:rtl/>
        </w:rPr>
        <w:t xml:space="preserve"> </w:t>
      </w:r>
      <w:r w:rsidRPr="00BF41CC">
        <w:rPr>
          <w:rFonts w:hint="eastAsia"/>
          <w:rtl/>
        </w:rPr>
        <w:t>של</w:t>
      </w:r>
      <w:r w:rsidRPr="00BF41CC">
        <w:rPr>
          <w:rtl/>
        </w:rPr>
        <w:t xml:space="preserve"> </w:t>
      </w:r>
      <w:r w:rsidRPr="00BF41CC">
        <w:rPr>
          <w:rFonts w:hint="eastAsia"/>
          <w:rtl/>
        </w:rPr>
        <w:t>משפט</w:t>
      </w:r>
      <w:r w:rsidRPr="00BF41CC">
        <w:rPr>
          <w:rtl/>
        </w:rPr>
        <w:t xml:space="preserve"> </w:t>
      </w:r>
      <w:r w:rsidRPr="00BF41CC">
        <w:rPr>
          <w:rFonts w:hint="eastAsia"/>
          <w:rtl/>
        </w:rPr>
        <w:t>חוזר</w:t>
      </w:r>
      <w:r w:rsidRPr="00BF41CC">
        <w:rPr>
          <w:rtl/>
        </w:rPr>
        <w:t xml:space="preserve"> </w:t>
      </w:r>
      <w:r w:rsidRPr="00BF41CC">
        <w:rPr>
          <w:rFonts w:hint="eastAsia"/>
          <w:rtl/>
        </w:rPr>
        <w:t>בעניינו</w:t>
      </w:r>
      <w:r>
        <w:rPr>
          <w:rFonts w:hint="cs"/>
          <w:rtl/>
        </w:rPr>
        <w:t xml:space="preserve"> מכוח האמור בסעיף 31(א)(2) לחוק בתי המשפט משליכה על העילות למעצרו עד תום ההליכים בשני מישורים.</w:t>
      </w:r>
    </w:p>
    <w:p w:rsidR="003C5F47" w:rsidRPr="00BF41CC" w:rsidRDefault="003C5F47" w:rsidP="003C5F47">
      <w:pPr>
        <w:pStyle w:val="Ruller41"/>
      </w:pPr>
    </w:p>
    <w:p w:rsidR="003C5F47" w:rsidRPr="007D3BA3" w:rsidRDefault="003C5F47" w:rsidP="003C5F47">
      <w:pPr>
        <w:pStyle w:val="Ruller4"/>
        <w:rPr>
          <w:rtl/>
        </w:rPr>
      </w:pPr>
      <w:r>
        <w:rPr>
          <w:rFonts w:hint="cs"/>
          <w:rtl/>
        </w:rPr>
        <w:t xml:space="preserve">ראשית, קיומו של כרסום לכאורה בראיות המפלילות את הנאשם במידה שמצדיקה את ביטול הרשעתו ואת עריכתו של משפט חוזר מפעיל את "מקבילית הכוחות" הידועה. כוונתי למקבילית הכוחות </w:t>
      </w:r>
      <w:r w:rsidRPr="00742F80">
        <w:rPr>
          <w:rFonts w:hint="eastAsia"/>
          <w:rtl/>
        </w:rPr>
        <w:t>בין</w:t>
      </w:r>
      <w:r w:rsidRPr="00742F80">
        <w:rPr>
          <w:rtl/>
        </w:rPr>
        <w:t xml:space="preserve"> </w:t>
      </w:r>
      <w:r w:rsidRPr="00742F80">
        <w:rPr>
          <w:rFonts w:hint="eastAsia"/>
          <w:rtl/>
        </w:rPr>
        <w:t>עוצמת</w:t>
      </w:r>
      <w:r w:rsidRPr="00742F80">
        <w:rPr>
          <w:rtl/>
        </w:rPr>
        <w:t xml:space="preserve"> </w:t>
      </w:r>
      <w:r w:rsidRPr="00742F80">
        <w:rPr>
          <w:rFonts w:hint="eastAsia"/>
          <w:rtl/>
        </w:rPr>
        <w:t>הראיות</w:t>
      </w:r>
      <w:r w:rsidRPr="00742F80">
        <w:rPr>
          <w:rtl/>
        </w:rPr>
        <w:t xml:space="preserve"> </w:t>
      </w:r>
      <w:r>
        <w:rPr>
          <w:rFonts w:hint="cs"/>
          <w:rtl/>
        </w:rPr>
        <w:t xml:space="preserve">המפלילות </w:t>
      </w:r>
      <w:r w:rsidRPr="00742F80">
        <w:rPr>
          <w:rFonts w:hint="eastAsia"/>
          <w:rtl/>
        </w:rPr>
        <w:t>לבין</w:t>
      </w:r>
      <w:r w:rsidRPr="00742F80">
        <w:rPr>
          <w:rtl/>
        </w:rPr>
        <w:t xml:space="preserve"> </w:t>
      </w:r>
      <w:r w:rsidRPr="00742F80">
        <w:rPr>
          <w:rFonts w:hint="eastAsia"/>
          <w:rtl/>
        </w:rPr>
        <w:t>נטייתו</w:t>
      </w:r>
      <w:r w:rsidRPr="00742F80">
        <w:rPr>
          <w:rtl/>
        </w:rPr>
        <w:t xml:space="preserve"> </w:t>
      </w:r>
      <w:r w:rsidRPr="00742F80">
        <w:rPr>
          <w:rFonts w:hint="eastAsia"/>
          <w:rtl/>
        </w:rPr>
        <w:t>של</w:t>
      </w:r>
      <w:r w:rsidRPr="00742F80">
        <w:rPr>
          <w:rtl/>
        </w:rPr>
        <w:t xml:space="preserve"> </w:t>
      </w:r>
      <w:r w:rsidRPr="00742F80">
        <w:rPr>
          <w:rFonts w:hint="eastAsia"/>
          <w:rtl/>
        </w:rPr>
        <w:t>בית</w:t>
      </w:r>
      <w:r w:rsidRPr="00742F80">
        <w:rPr>
          <w:rtl/>
        </w:rPr>
        <w:t xml:space="preserve"> </w:t>
      </w:r>
      <w:r w:rsidRPr="00742F80">
        <w:rPr>
          <w:rFonts w:hint="eastAsia"/>
          <w:rtl/>
        </w:rPr>
        <w:t>המשפט</w:t>
      </w:r>
      <w:r w:rsidRPr="00742F80">
        <w:rPr>
          <w:rtl/>
        </w:rPr>
        <w:t xml:space="preserve"> </w:t>
      </w:r>
      <w:r w:rsidRPr="00742F80">
        <w:rPr>
          <w:rFonts w:hint="eastAsia"/>
          <w:rtl/>
        </w:rPr>
        <w:t>להסתפק</w:t>
      </w:r>
      <w:r w:rsidRPr="00742F80">
        <w:rPr>
          <w:rtl/>
        </w:rPr>
        <w:t xml:space="preserve"> </w:t>
      </w:r>
      <w:r w:rsidRPr="00742F80">
        <w:rPr>
          <w:rFonts w:hint="eastAsia"/>
          <w:rtl/>
        </w:rPr>
        <w:t>בחלופ</w:t>
      </w:r>
      <w:r>
        <w:rPr>
          <w:rFonts w:hint="cs"/>
          <w:rtl/>
        </w:rPr>
        <w:t>ה ל</w:t>
      </w:r>
      <w:r w:rsidRPr="00742F80">
        <w:rPr>
          <w:rFonts w:hint="eastAsia"/>
          <w:rtl/>
        </w:rPr>
        <w:t>מעצר</w:t>
      </w:r>
      <w:r>
        <w:rPr>
          <w:rFonts w:hint="cs"/>
          <w:rtl/>
        </w:rPr>
        <w:t>ו של הנאשם מאחורי סורג ובריח</w:t>
      </w:r>
      <w:r w:rsidRPr="00742F80">
        <w:rPr>
          <w:rtl/>
        </w:rPr>
        <w:t>.</w:t>
      </w:r>
      <w:r>
        <w:rPr>
          <w:rFonts w:hint="cs"/>
          <w:rtl/>
        </w:rPr>
        <w:t xml:space="preserve"> ככל שהראיות המפלילות נחלשות, נטייתו של בית המשפט להעביר את הנאשם למעצר-בית, עם או בלי אזוק אלקטרוני, הולכת ומתעצמת. כדי להעמיד משקל-נגד לנטייה זו, על התביעה להראות לבית המשפט באותות ובמופתים כי הנאשם מסוכן במידה שאינה </w:t>
      </w:r>
      <w:r>
        <w:rPr>
          <w:rFonts w:hint="cs"/>
          <w:rtl/>
        </w:rPr>
        <w:lastRenderedPageBreak/>
        <w:t xml:space="preserve">מאפשרת הסתפקות בחלופת מעצר, מאחר שהלה עלול לבצע עבירות, להימלט מהדין או לשבש את מהלכי משפטו. במסגרת זו, ירידה בעוצמת הראיות המפלילות מעמידה דרישה מקבילה להוכחת עלייה ברמת המסוכנות הנשקפת מהנאשם (ראו: </w:t>
      </w:r>
      <w:proofErr w:type="spellStart"/>
      <w:r w:rsidRPr="007D3BA3">
        <w:rPr>
          <w:rFonts w:hint="eastAsia"/>
          <w:rtl/>
        </w:rPr>
        <w:t>בש</w:t>
      </w:r>
      <w:r w:rsidRPr="007D3BA3">
        <w:rPr>
          <w:rtl/>
        </w:rPr>
        <w:t>"</w:t>
      </w:r>
      <w:r w:rsidRPr="007D3BA3">
        <w:rPr>
          <w:rFonts w:hint="eastAsia"/>
          <w:rtl/>
        </w:rPr>
        <w:t>פ</w:t>
      </w:r>
      <w:proofErr w:type="spellEnd"/>
      <w:r w:rsidRPr="007D3BA3">
        <w:rPr>
          <w:rtl/>
        </w:rPr>
        <w:t xml:space="preserve"> </w:t>
      </w:r>
      <w:r>
        <w:rPr>
          <w:rFonts w:hint="cs"/>
          <w:rtl/>
        </w:rPr>
        <w:t xml:space="preserve">6573/13 </w:t>
      </w:r>
      <w:r w:rsidRPr="001806A3">
        <w:rPr>
          <w:rFonts w:ascii="Century" w:hAnsi="Century" w:cs="Miriam" w:hint="cs"/>
          <w:b/>
          <w:spacing w:val="0"/>
          <w:sz w:val="22"/>
          <w:szCs w:val="24"/>
          <w:rtl/>
        </w:rPr>
        <w:t>מדינת ישראל נ' אביתר</w:t>
      </w:r>
      <w:r>
        <w:rPr>
          <w:rFonts w:hint="cs"/>
          <w:rtl/>
        </w:rPr>
        <w:t>, פסקה 20</w:t>
      </w:r>
      <w:r w:rsidRPr="001806A3">
        <w:rPr>
          <w:rFonts w:hint="cs"/>
          <w:rtl/>
        </w:rPr>
        <w:t xml:space="preserve"> </w:t>
      </w:r>
      <w:r>
        <w:rPr>
          <w:rFonts w:hint="cs"/>
          <w:rtl/>
        </w:rPr>
        <w:t xml:space="preserve">(10.10.2013); </w:t>
      </w:r>
      <w:proofErr w:type="spellStart"/>
      <w:r w:rsidRPr="007D3BA3">
        <w:rPr>
          <w:rFonts w:hint="eastAsia"/>
          <w:rtl/>
        </w:rPr>
        <w:t>בש</w:t>
      </w:r>
      <w:r w:rsidRPr="007D3BA3">
        <w:rPr>
          <w:rtl/>
        </w:rPr>
        <w:t>"</w:t>
      </w:r>
      <w:r w:rsidRPr="007D3BA3">
        <w:rPr>
          <w:rFonts w:hint="eastAsia"/>
          <w:rtl/>
        </w:rPr>
        <w:t>פ</w:t>
      </w:r>
      <w:proofErr w:type="spellEnd"/>
      <w:r w:rsidRPr="007D3BA3">
        <w:rPr>
          <w:rtl/>
        </w:rPr>
        <w:t xml:space="preserve"> 4738/14 </w:t>
      </w:r>
      <w:r w:rsidRPr="005208E6">
        <w:rPr>
          <w:rFonts w:ascii="Century" w:hAnsi="Century" w:cs="Miriam" w:hint="eastAsia"/>
          <w:b/>
          <w:spacing w:val="0"/>
          <w:sz w:val="22"/>
          <w:szCs w:val="24"/>
          <w:rtl/>
        </w:rPr>
        <w:t>פלוני</w:t>
      </w:r>
      <w:r w:rsidRPr="005208E6">
        <w:rPr>
          <w:rFonts w:ascii="Century" w:hAnsi="Century" w:cs="Miriam"/>
          <w:b/>
          <w:spacing w:val="0"/>
          <w:sz w:val="22"/>
          <w:szCs w:val="24"/>
          <w:rtl/>
        </w:rPr>
        <w:t xml:space="preserve"> </w:t>
      </w:r>
      <w:r w:rsidRPr="005208E6">
        <w:rPr>
          <w:rFonts w:ascii="Century" w:hAnsi="Century" w:cs="Miriam" w:hint="eastAsia"/>
          <w:b/>
          <w:spacing w:val="0"/>
          <w:sz w:val="22"/>
          <w:szCs w:val="24"/>
          <w:rtl/>
        </w:rPr>
        <w:t>נ</w:t>
      </w:r>
      <w:r w:rsidRPr="005208E6">
        <w:rPr>
          <w:rFonts w:ascii="Century" w:hAnsi="Century" w:cs="Miriam"/>
          <w:b/>
          <w:spacing w:val="0"/>
          <w:sz w:val="22"/>
          <w:szCs w:val="24"/>
          <w:rtl/>
        </w:rPr>
        <w:t xml:space="preserve">' </w:t>
      </w:r>
      <w:r w:rsidRPr="005208E6">
        <w:rPr>
          <w:rFonts w:ascii="Century" w:hAnsi="Century" w:cs="Miriam" w:hint="eastAsia"/>
          <w:b/>
          <w:spacing w:val="0"/>
          <w:sz w:val="22"/>
          <w:szCs w:val="24"/>
          <w:rtl/>
        </w:rPr>
        <w:t>מדינת</w:t>
      </w:r>
      <w:r w:rsidRPr="005208E6">
        <w:rPr>
          <w:rFonts w:ascii="Century" w:hAnsi="Century" w:cs="Miriam"/>
          <w:b/>
          <w:spacing w:val="0"/>
          <w:sz w:val="22"/>
          <w:szCs w:val="24"/>
          <w:rtl/>
        </w:rPr>
        <w:t xml:space="preserve"> </w:t>
      </w:r>
      <w:r w:rsidRPr="005208E6">
        <w:rPr>
          <w:rFonts w:ascii="Century" w:hAnsi="Century" w:cs="Miriam" w:hint="eastAsia"/>
          <w:b/>
          <w:spacing w:val="0"/>
          <w:sz w:val="22"/>
          <w:szCs w:val="24"/>
          <w:rtl/>
        </w:rPr>
        <w:t>ישראל</w:t>
      </w:r>
      <w:r>
        <w:rPr>
          <w:rFonts w:hint="cs"/>
          <w:rtl/>
        </w:rPr>
        <w:t>, פסקה 18</w:t>
      </w:r>
      <w:r w:rsidRPr="007D3BA3">
        <w:rPr>
          <w:rtl/>
        </w:rPr>
        <w:t xml:space="preserve"> (14.</w:t>
      </w:r>
      <w:r>
        <w:rPr>
          <w:rFonts w:hint="cs"/>
          <w:rtl/>
        </w:rPr>
        <w:t>7</w:t>
      </w:r>
      <w:r w:rsidRPr="007D3BA3">
        <w:rPr>
          <w:rtl/>
        </w:rPr>
        <w:t>.2014)</w:t>
      </w:r>
      <w:r>
        <w:rPr>
          <w:rFonts w:hint="cs"/>
          <w:rtl/>
        </w:rPr>
        <w:t xml:space="preserve">; וכן, </w:t>
      </w:r>
      <w:proofErr w:type="spellStart"/>
      <w:r w:rsidRPr="007D3BA3">
        <w:rPr>
          <w:rFonts w:hint="eastAsia"/>
          <w:rtl/>
        </w:rPr>
        <w:t>בש</w:t>
      </w:r>
      <w:r w:rsidRPr="007D3BA3">
        <w:rPr>
          <w:rtl/>
        </w:rPr>
        <w:t>"</w:t>
      </w:r>
      <w:r w:rsidRPr="007D3BA3">
        <w:rPr>
          <w:rFonts w:hint="eastAsia"/>
          <w:rtl/>
        </w:rPr>
        <w:t>פ</w:t>
      </w:r>
      <w:proofErr w:type="spellEnd"/>
      <w:r w:rsidRPr="007D3BA3">
        <w:rPr>
          <w:rtl/>
        </w:rPr>
        <w:t xml:space="preserve"> </w:t>
      </w:r>
      <w:r>
        <w:rPr>
          <w:rFonts w:hint="cs"/>
          <w:rtl/>
        </w:rPr>
        <w:t xml:space="preserve">6722/15 </w:t>
      </w:r>
      <w:proofErr w:type="spellStart"/>
      <w:r w:rsidRPr="002D6C4E">
        <w:rPr>
          <w:rFonts w:ascii="Century" w:hAnsi="Century" w:cs="Miriam" w:hint="cs"/>
          <w:b/>
          <w:spacing w:val="0"/>
          <w:sz w:val="22"/>
          <w:szCs w:val="24"/>
          <w:rtl/>
        </w:rPr>
        <w:t>ניג'ם</w:t>
      </w:r>
      <w:proofErr w:type="spellEnd"/>
      <w:r w:rsidRPr="005208E6">
        <w:rPr>
          <w:rFonts w:ascii="Century" w:hAnsi="Century" w:cs="Miriam"/>
          <w:b/>
          <w:spacing w:val="0"/>
          <w:sz w:val="22"/>
          <w:szCs w:val="24"/>
          <w:rtl/>
        </w:rPr>
        <w:t xml:space="preserve"> </w:t>
      </w:r>
      <w:r w:rsidRPr="005208E6">
        <w:rPr>
          <w:rFonts w:ascii="Century" w:hAnsi="Century" w:cs="Miriam" w:hint="eastAsia"/>
          <w:b/>
          <w:spacing w:val="0"/>
          <w:sz w:val="22"/>
          <w:szCs w:val="24"/>
          <w:rtl/>
        </w:rPr>
        <w:t>נ</w:t>
      </w:r>
      <w:r w:rsidRPr="005208E6">
        <w:rPr>
          <w:rFonts w:ascii="Century" w:hAnsi="Century" w:cs="Miriam"/>
          <w:b/>
          <w:spacing w:val="0"/>
          <w:sz w:val="22"/>
          <w:szCs w:val="24"/>
          <w:rtl/>
        </w:rPr>
        <w:t xml:space="preserve">' </w:t>
      </w:r>
      <w:r w:rsidRPr="005208E6">
        <w:rPr>
          <w:rFonts w:ascii="Century" w:hAnsi="Century" w:cs="Miriam" w:hint="eastAsia"/>
          <w:b/>
          <w:spacing w:val="0"/>
          <w:sz w:val="22"/>
          <w:szCs w:val="24"/>
          <w:rtl/>
        </w:rPr>
        <w:t>מדינת</w:t>
      </w:r>
      <w:r w:rsidRPr="005208E6">
        <w:rPr>
          <w:rFonts w:ascii="Century" w:hAnsi="Century" w:cs="Miriam"/>
          <w:b/>
          <w:spacing w:val="0"/>
          <w:sz w:val="22"/>
          <w:szCs w:val="24"/>
          <w:rtl/>
        </w:rPr>
        <w:t xml:space="preserve"> </w:t>
      </w:r>
      <w:r w:rsidRPr="005208E6">
        <w:rPr>
          <w:rFonts w:ascii="Century" w:hAnsi="Century" w:cs="Miriam" w:hint="eastAsia"/>
          <w:b/>
          <w:spacing w:val="0"/>
          <w:sz w:val="22"/>
          <w:szCs w:val="24"/>
          <w:rtl/>
        </w:rPr>
        <w:t>ישראל</w:t>
      </w:r>
      <w:r>
        <w:rPr>
          <w:rFonts w:hint="cs"/>
          <w:rtl/>
        </w:rPr>
        <w:t>, פסקה 10</w:t>
      </w:r>
      <w:r w:rsidRPr="007D3BA3">
        <w:rPr>
          <w:rtl/>
        </w:rPr>
        <w:t xml:space="preserve"> (</w:t>
      </w:r>
      <w:r>
        <w:rPr>
          <w:rFonts w:hint="cs"/>
          <w:rtl/>
        </w:rPr>
        <w:t xml:space="preserve">26.10.2015)). </w:t>
      </w:r>
    </w:p>
    <w:p w:rsidR="003C5F47" w:rsidRPr="00742F80" w:rsidRDefault="003C5F47" w:rsidP="003C5F47">
      <w:pPr>
        <w:pStyle w:val="Ruller41"/>
      </w:pPr>
    </w:p>
    <w:p w:rsidR="003C5F47" w:rsidRDefault="003C5F47" w:rsidP="003C5F47">
      <w:pPr>
        <w:pStyle w:val="Ruller4"/>
        <w:rPr>
          <w:rtl/>
        </w:rPr>
      </w:pPr>
      <w:r>
        <w:rPr>
          <w:rFonts w:hint="cs"/>
          <w:rtl/>
        </w:rPr>
        <w:t xml:space="preserve">שנית, כפי שהסבירה השופטת </w:t>
      </w:r>
      <w:proofErr w:type="spellStart"/>
      <w:r w:rsidRPr="00FB0EDA">
        <w:rPr>
          <w:rFonts w:ascii="Century" w:hAnsi="Century" w:cs="Miriam" w:hint="cs"/>
          <w:b/>
          <w:spacing w:val="0"/>
          <w:sz w:val="22"/>
          <w:szCs w:val="24"/>
          <w:rtl/>
        </w:rPr>
        <w:t>דורנר</w:t>
      </w:r>
      <w:proofErr w:type="spellEnd"/>
      <w:r>
        <w:rPr>
          <w:rFonts w:hint="cs"/>
          <w:rtl/>
        </w:rPr>
        <w:t xml:space="preserve"> בעניין </w:t>
      </w:r>
      <w:proofErr w:type="spellStart"/>
      <w:r w:rsidRPr="00FB0EDA">
        <w:rPr>
          <w:rFonts w:ascii="Century" w:hAnsi="Century" w:cs="Miriam" w:hint="cs"/>
          <w:b/>
          <w:spacing w:val="0"/>
          <w:sz w:val="22"/>
          <w:szCs w:val="24"/>
          <w:rtl/>
        </w:rPr>
        <w:t>קוזלי</w:t>
      </w:r>
      <w:proofErr w:type="spellEnd"/>
      <w:r>
        <w:rPr>
          <w:rFonts w:hint="cs"/>
          <w:rtl/>
        </w:rPr>
        <w:t xml:space="preserve"> (ראו: שם, בעמ' 564-562), במקרים כגון זה שלפניי הצורך למנוע כליאת שווא של נאשם מקבל משנה תוקף. בהחלטות שעניינן מעצר עד תום ההליכים אגב משפט חוזר, אשר מתקבלות אחרי שהנאשם כבר ריצה מאסר ממושך בין כותלי הכלא, שיקול זה הוא שיקול חשוב ביותר, אם לא מרכזי </w:t>
      </w:r>
      <w:r>
        <w:rPr>
          <w:rtl/>
        </w:rPr>
        <w:t>–</w:t>
      </w:r>
      <w:r>
        <w:rPr>
          <w:rFonts w:hint="cs"/>
          <w:rtl/>
        </w:rPr>
        <w:t xml:space="preserve"> ובחברה אזרחית כמו שלנו, אשר סולדת מדיכוי ושוחרת חירות, אין צורך לפרט אודותיו.</w:t>
      </w:r>
    </w:p>
    <w:p w:rsidR="003C5F47" w:rsidRPr="006B167A" w:rsidRDefault="003C5F47" w:rsidP="003C5F47">
      <w:pPr>
        <w:pStyle w:val="Ruller41"/>
      </w:pPr>
    </w:p>
    <w:p w:rsidR="003C5F47" w:rsidRDefault="003C5F47" w:rsidP="003C5F47">
      <w:pPr>
        <w:pStyle w:val="Ruller4"/>
        <w:rPr>
          <w:rtl/>
        </w:rPr>
      </w:pPr>
      <w:r>
        <w:rPr>
          <w:rFonts w:hint="cs"/>
          <w:rtl/>
        </w:rPr>
        <w:t xml:space="preserve">החיבור ההכרחי בין שני השיקולים הללו </w:t>
      </w:r>
      <w:r>
        <w:rPr>
          <w:rtl/>
        </w:rPr>
        <w:t>–</w:t>
      </w:r>
      <w:r>
        <w:rPr>
          <w:rFonts w:hint="cs"/>
          <w:rtl/>
        </w:rPr>
        <w:t xml:space="preserve"> היחלשות הראיות המפלילות את הנאשם והצורך המוגבר למנוע כליאת שווא </w:t>
      </w:r>
      <w:r>
        <w:rPr>
          <w:rtl/>
        </w:rPr>
        <w:t>–</w:t>
      </w:r>
      <w:r>
        <w:rPr>
          <w:rFonts w:hint="cs"/>
          <w:rtl/>
        </w:rPr>
        <w:t xml:space="preserve"> מוליכני למסקנה המשפטית המתבקשת מאליה. במצב דברים שבו עסקינן, מן הדין לעצור את הנאשם עד תום המשפט החוזר שנערך בעניינו רק באין דרך מעשית אחרת למזער את המסוכנות הנשקפת ממנו כמי שעלול לבצע עבירות, להימלט מהדין או לשבש את מהלכי משפטו. בכל המקרים האחרים, מן הראוי להורות כי הנאשם ייעצר באזוק אלקטרוני מחוץ לכלא, ובנסיבות מתאימות אף ישוחרר ממעצרו בתנאים מגבילים </w:t>
      </w:r>
      <w:r>
        <w:rPr>
          <w:rtl/>
        </w:rPr>
        <w:t>–</w:t>
      </w:r>
      <w:r>
        <w:rPr>
          <w:rFonts w:hint="cs"/>
          <w:rtl/>
        </w:rPr>
        <w:t xml:space="preserve"> זאת, גם כאשר הוא מואשם בעבירה חמורה כמו רצח (ראו: פסקה 7 להחלטתי </w:t>
      </w:r>
      <w:proofErr w:type="spellStart"/>
      <w:r>
        <w:rPr>
          <w:rFonts w:hint="cs"/>
          <w:rtl/>
        </w:rPr>
        <w:t>ב</w:t>
      </w:r>
      <w:r w:rsidRPr="0028680A">
        <w:rPr>
          <w:rFonts w:hint="eastAsia"/>
          <w:rtl/>
        </w:rPr>
        <w:t>בש</w:t>
      </w:r>
      <w:r w:rsidRPr="0028680A">
        <w:rPr>
          <w:rtl/>
        </w:rPr>
        <w:t>"</w:t>
      </w:r>
      <w:r w:rsidRPr="0028680A">
        <w:rPr>
          <w:rFonts w:hint="eastAsia"/>
          <w:rtl/>
        </w:rPr>
        <w:t>פ</w:t>
      </w:r>
      <w:proofErr w:type="spellEnd"/>
      <w:r w:rsidRPr="0028680A">
        <w:rPr>
          <w:rtl/>
        </w:rPr>
        <w:t xml:space="preserve"> 4342/21 </w:t>
      </w:r>
      <w:r w:rsidRPr="00D55284">
        <w:rPr>
          <w:rFonts w:ascii="Century" w:hAnsi="Century" w:cs="Miriam" w:hint="eastAsia"/>
          <w:b/>
          <w:spacing w:val="0"/>
          <w:sz w:val="22"/>
          <w:szCs w:val="24"/>
          <w:rtl/>
        </w:rPr>
        <w:t>מדינת</w:t>
      </w:r>
      <w:r w:rsidRPr="00D55284">
        <w:rPr>
          <w:rFonts w:ascii="Century" w:hAnsi="Century" w:cs="Miriam"/>
          <w:b/>
          <w:spacing w:val="0"/>
          <w:sz w:val="22"/>
          <w:szCs w:val="24"/>
          <w:rtl/>
        </w:rPr>
        <w:t xml:space="preserve"> </w:t>
      </w:r>
      <w:r w:rsidRPr="00D55284">
        <w:rPr>
          <w:rFonts w:ascii="Century" w:hAnsi="Century" w:cs="Miriam" w:hint="eastAsia"/>
          <w:b/>
          <w:spacing w:val="0"/>
          <w:sz w:val="22"/>
          <w:szCs w:val="24"/>
          <w:rtl/>
        </w:rPr>
        <w:t>ישראל</w:t>
      </w:r>
      <w:r w:rsidRPr="00D55284">
        <w:rPr>
          <w:rFonts w:ascii="Century" w:hAnsi="Century" w:cs="Miriam"/>
          <w:b/>
          <w:spacing w:val="0"/>
          <w:sz w:val="22"/>
          <w:szCs w:val="24"/>
          <w:rtl/>
        </w:rPr>
        <w:t xml:space="preserve"> </w:t>
      </w:r>
      <w:r w:rsidRPr="00D55284">
        <w:rPr>
          <w:rFonts w:ascii="Century" w:hAnsi="Century" w:cs="Miriam" w:hint="eastAsia"/>
          <w:b/>
          <w:spacing w:val="0"/>
          <w:sz w:val="22"/>
          <w:szCs w:val="24"/>
          <w:rtl/>
        </w:rPr>
        <w:t>נ</w:t>
      </w:r>
      <w:r w:rsidRPr="00D55284">
        <w:rPr>
          <w:rFonts w:ascii="Century" w:hAnsi="Century" w:cs="Miriam"/>
          <w:b/>
          <w:spacing w:val="0"/>
          <w:sz w:val="22"/>
          <w:szCs w:val="24"/>
          <w:rtl/>
        </w:rPr>
        <w:t xml:space="preserve">' </w:t>
      </w:r>
      <w:r w:rsidRPr="00D55284">
        <w:rPr>
          <w:rFonts w:ascii="Century" w:hAnsi="Century" w:cs="Miriam" w:hint="eastAsia"/>
          <w:b/>
          <w:spacing w:val="0"/>
          <w:sz w:val="22"/>
          <w:szCs w:val="24"/>
          <w:rtl/>
        </w:rPr>
        <w:t>פוגל</w:t>
      </w:r>
      <w:r w:rsidRPr="0028680A">
        <w:rPr>
          <w:rtl/>
        </w:rPr>
        <w:t xml:space="preserve"> (12.</w:t>
      </w:r>
      <w:r>
        <w:rPr>
          <w:rFonts w:hint="cs"/>
          <w:rtl/>
        </w:rPr>
        <w:t>8</w:t>
      </w:r>
      <w:r w:rsidRPr="0028680A">
        <w:rPr>
          <w:rtl/>
        </w:rPr>
        <w:t>.2021)</w:t>
      </w:r>
      <w:r>
        <w:rPr>
          <w:rFonts w:hint="cs"/>
          <w:rtl/>
        </w:rPr>
        <w:t xml:space="preserve">, והאסמכתאות שם, להלן: עניין </w:t>
      </w:r>
      <w:r w:rsidRPr="00BF294F">
        <w:rPr>
          <w:rFonts w:ascii="Century" w:hAnsi="Century" w:cs="Miriam" w:hint="cs"/>
          <w:b/>
          <w:spacing w:val="0"/>
          <w:sz w:val="22"/>
          <w:szCs w:val="24"/>
          <w:rtl/>
        </w:rPr>
        <w:t>פוגל</w:t>
      </w:r>
      <w:r>
        <w:rPr>
          <w:rFonts w:hint="cs"/>
          <w:rtl/>
        </w:rPr>
        <w:t>).</w:t>
      </w:r>
    </w:p>
    <w:p w:rsidR="003C5F47" w:rsidRDefault="003C5F47" w:rsidP="003C5F47">
      <w:pPr>
        <w:pStyle w:val="Ruller41"/>
        <w:rPr>
          <w:rtl/>
        </w:rPr>
      </w:pPr>
    </w:p>
    <w:p w:rsidR="003C5F47" w:rsidRPr="00D55284" w:rsidRDefault="003C5F47" w:rsidP="003C5F47">
      <w:pPr>
        <w:pStyle w:val="Ruller41"/>
        <w:rPr>
          <w:rFonts w:ascii="Century" w:hAnsi="Century" w:cs="Miriam"/>
          <w:b/>
          <w:spacing w:val="0"/>
          <w:szCs w:val="24"/>
          <w:rtl/>
        </w:rPr>
      </w:pPr>
      <w:r w:rsidRPr="00D55284">
        <w:rPr>
          <w:rFonts w:ascii="Century" w:hAnsi="Century" w:cs="Miriam" w:hint="cs"/>
          <w:b/>
          <w:spacing w:val="0"/>
          <w:szCs w:val="24"/>
          <w:rtl/>
        </w:rPr>
        <w:t xml:space="preserve">מן הכלל אל הפרט: </w:t>
      </w:r>
      <w:r w:rsidRPr="00D55284">
        <w:rPr>
          <w:rFonts w:ascii="Century" w:hAnsi="Century" w:cs="Miriam" w:hint="eastAsia"/>
          <w:b/>
          <w:spacing w:val="0"/>
          <w:szCs w:val="24"/>
          <w:rtl/>
        </w:rPr>
        <w:t>השלכות</w:t>
      </w:r>
      <w:r w:rsidRPr="00D55284">
        <w:rPr>
          <w:rFonts w:ascii="Century" w:hAnsi="Century" w:cs="Miriam"/>
          <w:b/>
          <w:spacing w:val="0"/>
          <w:szCs w:val="24"/>
          <w:rtl/>
        </w:rPr>
        <w:t xml:space="preserve"> </w:t>
      </w:r>
      <w:r w:rsidRPr="00D55284">
        <w:rPr>
          <w:rFonts w:ascii="Century" w:hAnsi="Century" w:cs="Miriam" w:hint="eastAsia"/>
          <w:b/>
          <w:spacing w:val="0"/>
          <w:szCs w:val="24"/>
          <w:rtl/>
        </w:rPr>
        <w:t>ההחלטה</w:t>
      </w:r>
      <w:r w:rsidRPr="00D55284">
        <w:rPr>
          <w:rFonts w:ascii="Century" w:hAnsi="Century" w:cs="Miriam"/>
          <w:b/>
          <w:spacing w:val="0"/>
          <w:szCs w:val="24"/>
          <w:rtl/>
        </w:rPr>
        <w:t xml:space="preserve"> </w:t>
      </w:r>
      <w:r w:rsidRPr="00D55284">
        <w:rPr>
          <w:rFonts w:ascii="Century" w:hAnsi="Century" w:cs="Miriam" w:hint="eastAsia"/>
          <w:b/>
          <w:spacing w:val="0"/>
          <w:szCs w:val="24"/>
          <w:rtl/>
        </w:rPr>
        <w:t>בדבר</w:t>
      </w:r>
      <w:r w:rsidRPr="00D55284">
        <w:rPr>
          <w:rFonts w:ascii="Century" w:hAnsi="Century" w:cs="Miriam"/>
          <w:b/>
          <w:spacing w:val="0"/>
          <w:szCs w:val="24"/>
          <w:rtl/>
        </w:rPr>
        <w:t xml:space="preserve"> </w:t>
      </w:r>
      <w:r w:rsidRPr="00D55284">
        <w:rPr>
          <w:rFonts w:ascii="Century" w:hAnsi="Century" w:cs="Miriam" w:hint="eastAsia"/>
          <w:b/>
          <w:spacing w:val="0"/>
          <w:szCs w:val="24"/>
          <w:rtl/>
        </w:rPr>
        <w:t>ביטול</w:t>
      </w:r>
      <w:r w:rsidRPr="00D55284">
        <w:rPr>
          <w:rFonts w:ascii="Century" w:hAnsi="Century" w:cs="Miriam"/>
          <w:b/>
          <w:spacing w:val="0"/>
          <w:szCs w:val="24"/>
          <w:rtl/>
        </w:rPr>
        <w:t xml:space="preserve"> </w:t>
      </w:r>
      <w:r w:rsidRPr="00D55284">
        <w:rPr>
          <w:rFonts w:ascii="Century" w:hAnsi="Century" w:cs="Miriam" w:hint="eastAsia"/>
          <w:b/>
          <w:spacing w:val="0"/>
          <w:szCs w:val="24"/>
          <w:rtl/>
        </w:rPr>
        <w:t>הרשעת</w:t>
      </w:r>
      <w:r w:rsidRPr="00D55284">
        <w:rPr>
          <w:rFonts w:ascii="Century" w:hAnsi="Century" w:cs="Miriam" w:hint="cs"/>
          <w:b/>
          <w:spacing w:val="0"/>
          <w:szCs w:val="24"/>
          <w:rtl/>
        </w:rPr>
        <w:t>ו של המשיב</w:t>
      </w:r>
      <w:r w:rsidRPr="00D55284">
        <w:rPr>
          <w:rFonts w:ascii="Century" w:hAnsi="Century" w:cs="Miriam"/>
          <w:b/>
          <w:spacing w:val="0"/>
          <w:szCs w:val="24"/>
          <w:rtl/>
        </w:rPr>
        <w:t xml:space="preserve"> </w:t>
      </w:r>
      <w:r w:rsidRPr="00D55284">
        <w:rPr>
          <w:rFonts w:ascii="Century" w:hAnsi="Century" w:cs="Miriam" w:hint="eastAsia"/>
          <w:b/>
          <w:spacing w:val="0"/>
          <w:szCs w:val="24"/>
          <w:rtl/>
        </w:rPr>
        <w:t>וקיומו</w:t>
      </w:r>
      <w:r w:rsidRPr="00D55284">
        <w:rPr>
          <w:rFonts w:ascii="Century" w:hAnsi="Century" w:cs="Miriam"/>
          <w:b/>
          <w:spacing w:val="0"/>
          <w:szCs w:val="24"/>
          <w:rtl/>
        </w:rPr>
        <w:t xml:space="preserve"> </w:t>
      </w:r>
      <w:r w:rsidRPr="00D55284">
        <w:rPr>
          <w:rFonts w:ascii="Century" w:hAnsi="Century" w:cs="Miriam" w:hint="eastAsia"/>
          <w:b/>
          <w:spacing w:val="0"/>
          <w:szCs w:val="24"/>
          <w:rtl/>
        </w:rPr>
        <w:t>של</w:t>
      </w:r>
      <w:r w:rsidRPr="00D55284">
        <w:rPr>
          <w:rFonts w:ascii="Century" w:hAnsi="Century" w:cs="Miriam"/>
          <w:b/>
          <w:spacing w:val="0"/>
          <w:szCs w:val="24"/>
          <w:rtl/>
        </w:rPr>
        <w:t xml:space="preserve"> </w:t>
      </w:r>
      <w:r w:rsidRPr="00D55284">
        <w:rPr>
          <w:rFonts w:ascii="Century" w:hAnsi="Century" w:cs="Miriam" w:hint="eastAsia"/>
          <w:b/>
          <w:spacing w:val="0"/>
          <w:szCs w:val="24"/>
          <w:rtl/>
        </w:rPr>
        <w:t>משפט</w:t>
      </w:r>
      <w:r w:rsidRPr="00D55284">
        <w:rPr>
          <w:rFonts w:ascii="Century" w:hAnsi="Century" w:cs="Miriam"/>
          <w:b/>
          <w:spacing w:val="0"/>
          <w:szCs w:val="24"/>
          <w:rtl/>
        </w:rPr>
        <w:t xml:space="preserve"> </w:t>
      </w:r>
      <w:r w:rsidRPr="00D55284">
        <w:rPr>
          <w:rFonts w:ascii="Century" w:hAnsi="Century" w:cs="Miriam" w:hint="eastAsia"/>
          <w:b/>
          <w:spacing w:val="0"/>
          <w:szCs w:val="24"/>
          <w:rtl/>
        </w:rPr>
        <w:t>חוזר</w:t>
      </w:r>
      <w:r w:rsidRPr="00D55284">
        <w:rPr>
          <w:rFonts w:ascii="Century" w:hAnsi="Century" w:cs="Miriam"/>
          <w:b/>
          <w:spacing w:val="0"/>
          <w:szCs w:val="24"/>
          <w:rtl/>
        </w:rPr>
        <w:t xml:space="preserve"> </w:t>
      </w:r>
      <w:r w:rsidRPr="00D55284">
        <w:rPr>
          <w:rFonts w:ascii="Century" w:hAnsi="Century" w:cs="Miriam" w:hint="eastAsia"/>
          <w:b/>
          <w:spacing w:val="0"/>
          <w:szCs w:val="24"/>
          <w:rtl/>
        </w:rPr>
        <w:t>בעניינו</w:t>
      </w:r>
      <w:r w:rsidRPr="00D55284">
        <w:rPr>
          <w:rFonts w:ascii="Century" w:hAnsi="Century" w:cs="Miriam"/>
          <w:b/>
          <w:spacing w:val="0"/>
          <w:szCs w:val="24"/>
          <w:rtl/>
        </w:rPr>
        <w:t xml:space="preserve"> </w:t>
      </w:r>
      <w:r w:rsidRPr="00D55284">
        <w:rPr>
          <w:rFonts w:ascii="Century" w:hAnsi="Century" w:cs="Miriam" w:hint="eastAsia"/>
          <w:b/>
          <w:spacing w:val="0"/>
          <w:szCs w:val="24"/>
          <w:rtl/>
        </w:rPr>
        <w:t>על</w:t>
      </w:r>
      <w:r w:rsidRPr="00D55284">
        <w:rPr>
          <w:rFonts w:ascii="Century" w:hAnsi="Century" w:cs="Miriam"/>
          <w:b/>
          <w:spacing w:val="0"/>
          <w:szCs w:val="24"/>
          <w:rtl/>
        </w:rPr>
        <w:t xml:space="preserve"> </w:t>
      </w:r>
      <w:r w:rsidRPr="00D55284">
        <w:rPr>
          <w:rFonts w:ascii="Century" w:hAnsi="Century" w:cs="Miriam" w:hint="eastAsia"/>
          <w:b/>
          <w:spacing w:val="0"/>
          <w:szCs w:val="24"/>
          <w:rtl/>
        </w:rPr>
        <w:t>העילות</w:t>
      </w:r>
      <w:r w:rsidRPr="00D55284">
        <w:rPr>
          <w:rFonts w:ascii="Century" w:hAnsi="Century" w:cs="Miriam"/>
          <w:b/>
          <w:spacing w:val="0"/>
          <w:szCs w:val="24"/>
          <w:rtl/>
        </w:rPr>
        <w:t xml:space="preserve"> </w:t>
      </w:r>
      <w:r w:rsidRPr="00D55284">
        <w:rPr>
          <w:rFonts w:ascii="Century" w:hAnsi="Century" w:cs="Miriam" w:hint="eastAsia"/>
          <w:b/>
          <w:spacing w:val="0"/>
          <w:szCs w:val="24"/>
          <w:rtl/>
        </w:rPr>
        <w:t>למעצרו</w:t>
      </w:r>
    </w:p>
    <w:p w:rsidR="003C5F47" w:rsidRPr="00D55284" w:rsidRDefault="003C5F47" w:rsidP="003C5F47">
      <w:pPr>
        <w:pStyle w:val="Ruller41"/>
      </w:pPr>
    </w:p>
    <w:p w:rsidR="003C5F47" w:rsidRDefault="003C5F47" w:rsidP="003C5F47">
      <w:pPr>
        <w:pStyle w:val="Ruller4"/>
      </w:pPr>
      <w:r>
        <w:rPr>
          <w:rFonts w:hint="cs"/>
          <w:rtl/>
        </w:rPr>
        <w:t xml:space="preserve">המדינה טוענת כי הדרך המעשית היחידה לאיין את המסוכנות אשר נשקפת מהמשיב </w:t>
      </w:r>
      <w:r>
        <w:rPr>
          <w:rtl/>
        </w:rPr>
        <w:t>–</w:t>
      </w:r>
      <w:r>
        <w:rPr>
          <w:rFonts w:hint="cs"/>
          <w:rtl/>
        </w:rPr>
        <w:t xml:space="preserve"> כמי שעלול לאבד שליטה על דחפיו האלימים ולפגוע באנשים או להימלט מאימת הדין </w:t>
      </w:r>
      <w:r>
        <w:rPr>
          <w:rtl/>
        </w:rPr>
        <w:t>–</w:t>
      </w:r>
      <w:r>
        <w:rPr>
          <w:rFonts w:hint="cs"/>
          <w:rtl/>
        </w:rPr>
        <w:t xml:space="preserve"> היא מעצר מאחורי סורג ובריח עד תום משפטו.</w:t>
      </w:r>
    </w:p>
    <w:p w:rsidR="003C5F47" w:rsidRPr="00FD439D" w:rsidRDefault="003C5F47" w:rsidP="003C5F47">
      <w:pPr>
        <w:pStyle w:val="Ruller4"/>
        <w:numPr>
          <w:ilvl w:val="0"/>
          <w:numId w:val="0"/>
        </w:numPr>
        <w:rPr>
          <w:rtl/>
        </w:rPr>
      </w:pPr>
    </w:p>
    <w:p w:rsidR="003C5F47" w:rsidRPr="00CE1404" w:rsidRDefault="003C5F47" w:rsidP="003C5F47">
      <w:pPr>
        <w:pStyle w:val="Ruller41"/>
        <w:rPr>
          <w:rtl/>
        </w:rPr>
      </w:pPr>
      <w:r>
        <w:rPr>
          <w:rtl/>
        </w:rPr>
        <w:tab/>
      </w:r>
      <w:r>
        <w:rPr>
          <w:rFonts w:hint="cs"/>
          <w:rtl/>
        </w:rPr>
        <w:t>האמנם כך הוא?</w:t>
      </w:r>
    </w:p>
    <w:p w:rsidR="003C5F47" w:rsidRPr="00CE1404" w:rsidRDefault="003C5F47" w:rsidP="003C5F47">
      <w:pPr>
        <w:pStyle w:val="Ruller41"/>
      </w:pPr>
    </w:p>
    <w:p w:rsidR="003C5F47" w:rsidRDefault="003C5F47" w:rsidP="003C5F47">
      <w:pPr>
        <w:pStyle w:val="Ruller4"/>
      </w:pPr>
      <w:r>
        <w:rPr>
          <w:rFonts w:hint="cs"/>
          <w:rtl/>
        </w:rPr>
        <w:lastRenderedPageBreak/>
        <w:t xml:space="preserve">בפתח הדיון בשאלה זו, אציין כי במקרה דנן לא קיים חשש </w:t>
      </w:r>
      <w:proofErr w:type="spellStart"/>
      <w:r>
        <w:rPr>
          <w:rFonts w:hint="cs"/>
          <w:rtl/>
        </w:rPr>
        <w:t>אמיתי</w:t>
      </w:r>
      <w:proofErr w:type="spellEnd"/>
      <w:r>
        <w:rPr>
          <w:rFonts w:hint="cs"/>
          <w:rtl/>
        </w:rPr>
        <w:t xml:space="preserve"> לשיבוש מהלכי המשפט; וכי החשש להימלטות המשיב מהדין </w:t>
      </w:r>
      <w:r>
        <w:rPr>
          <w:rtl/>
        </w:rPr>
        <w:t>–</w:t>
      </w:r>
      <w:r>
        <w:rPr>
          <w:rFonts w:hint="cs"/>
          <w:rtl/>
        </w:rPr>
        <w:t xml:space="preserve"> בהינתן אזוק אלקטרוני ותנאים מגבילים קשיחים, שעליהם עוד ידובר בהמשך </w:t>
      </w:r>
      <w:r>
        <w:rPr>
          <w:rtl/>
        </w:rPr>
        <w:t>–</w:t>
      </w:r>
      <w:r>
        <w:rPr>
          <w:rFonts w:hint="cs"/>
          <w:rtl/>
        </w:rPr>
        <w:t xml:space="preserve"> אינו עולה כדי איום ממשי. שונה המצב עם המסוכנות הנשקפת מהמשיב כמי שעלול לנהוג באלימות קשה: ראיות לכאורה מזהות אותו כמי שרצח באכזריות ילדה בת 13. בחינת האפשרות לשחרר את המשיב מהכלא למעצר-בית באזוק אלקטרוני מחייבת אפוא מציאת מענה הולם למסוכנות זו; ובאין מענה כאמור, לא יהא מנוס מהשארת המשיב בכלא בהתאם לכללים שביארתי לעיל. </w:t>
      </w:r>
    </w:p>
    <w:p w:rsidR="003C5F47" w:rsidRDefault="003C5F47" w:rsidP="003C5F47">
      <w:pPr>
        <w:pStyle w:val="Ruller4"/>
        <w:numPr>
          <w:ilvl w:val="0"/>
          <w:numId w:val="0"/>
        </w:numPr>
      </w:pPr>
      <w:r>
        <w:rPr>
          <w:rFonts w:hint="cs"/>
          <w:rtl/>
        </w:rPr>
        <w:t xml:space="preserve">  </w:t>
      </w:r>
    </w:p>
    <w:p w:rsidR="003C5F47" w:rsidRDefault="003C5F47" w:rsidP="003C5F47">
      <w:pPr>
        <w:pStyle w:val="Ruller4"/>
      </w:pPr>
      <w:r>
        <w:rPr>
          <w:rFonts w:hint="cs"/>
          <w:rtl/>
        </w:rPr>
        <w:t xml:space="preserve">אל מול המסוכנות הרבה הנשקפת מהמשיב ניצבות שתי עובדות שעליהן אין עוררין: (1) ביטול הרשעתו של המשיב וסיבותיו; ו-(2) היות המשיב נעדר עבר פלילי. הרשעת המשיב ברצח המנוחה בוטלה לאחר שנמצא כי בראיות שעל בסיסן הוא הורשע חל, לכאורה, כרסום משמעותי. כיוון שלמשיב אין הרשעות קודמות, ראיות אלה מהוות בסיס בלעדי לסימונו כאדם אלים המסוכן לבריות; ועלינו לקחת בחשבון את היחלשותן בעת הזאת. </w:t>
      </w:r>
    </w:p>
    <w:p w:rsidR="003C5F47" w:rsidRDefault="003C5F47" w:rsidP="003C5F47">
      <w:pPr>
        <w:pStyle w:val="Ruller4"/>
        <w:numPr>
          <w:ilvl w:val="0"/>
          <w:numId w:val="0"/>
        </w:numPr>
      </w:pPr>
      <w:r>
        <w:rPr>
          <w:rFonts w:hint="cs"/>
          <w:rtl/>
        </w:rPr>
        <w:t xml:space="preserve">    </w:t>
      </w:r>
    </w:p>
    <w:p w:rsidR="003C5F47" w:rsidRDefault="003C5F47" w:rsidP="003C5F47">
      <w:pPr>
        <w:pStyle w:val="Ruller4"/>
      </w:pPr>
      <w:r>
        <w:rPr>
          <w:rFonts w:hint="cs"/>
          <w:rtl/>
        </w:rPr>
        <w:t xml:space="preserve">בית משפט קמא התרשם כי מעצרו של המשיב באזוק אלקטרוני בתנאים שקבע ימזער את המסוכנות הנשקפת ממנו במידה הדרושה. התרשמות זו התבססה על בחינה מדוקדקת של מקום המעצר ושל מפקחי המשיב </w:t>
      </w:r>
      <w:r>
        <w:rPr>
          <w:rtl/>
        </w:rPr>
        <w:t>–</w:t>
      </w:r>
      <w:r>
        <w:rPr>
          <w:rFonts w:hint="cs"/>
          <w:rtl/>
        </w:rPr>
        <w:t xml:space="preserve"> ובשני אלו אין כל עילה להתערבות שיפוטית במסגרת הערר. אוסיף ואציין, כי התנאים המגבילים שקבע בית המשפט הופכים את תרחיש ההימלטות של המשיב מהדין לזניח. הנני דוחה אפוא את ההשגות שהעלתה המדינה בעניינים אלה. </w:t>
      </w:r>
    </w:p>
    <w:p w:rsidR="003C5F47" w:rsidRDefault="003C5F47" w:rsidP="003C5F47">
      <w:pPr>
        <w:pStyle w:val="Ruller4"/>
        <w:numPr>
          <w:ilvl w:val="0"/>
          <w:numId w:val="0"/>
        </w:numPr>
      </w:pPr>
      <w:r>
        <w:rPr>
          <w:rFonts w:hint="cs"/>
          <w:rtl/>
        </w:rPr>
        <w:t xml:space="preserve"> </w:t>
      </w:r>
    </w:p>
    <w:p w:rsidR="003C5F47" w:rsidRDefault="003C5F47" w:rsidP="003C5F47">
      <w:pPr>
        <w:pStyle w:val="Ruller4"/>
        <w:rPr>
          <w:rtl/>
        </w:rPr>
      </w:pPr>
      <w:r>
        <w:rPr>
          <w:rFonts w:hint="cs"/>
          <w:rtl/>
        </w:rPr>
        <w:t xml:space="preserve">המדינה טוענת, בנוסף, כי בית משפט קמא חייב היה להורות לשירות המבחן על הגשת תסקיר מעצר בעניינו של המשיב, בטרם החליט כפי שהחליט. טענה זו דינה להידחות. סעיף 22ג(ב)(1) לחוק המעצרים מאפשר לבית המשפט שלא להיזקק לתסקיר מעצר בנסיבות חריגות, ובמקרה דנן נסיבות כאמור מתקיימות. ראשית, כפי שכבר צוין על ידי, במסגרתו של משפט חוזר, הוראות חוק המעצרים שעניינן מעצר עד תום ההליכים אינן חלות כמות שהן: על בית המשפט להחילן תוך עשיית ההתאמות הנדרשות לנוכח מצבו המיוחד של הנאשם. כך החליט בית משפט קמא בהסתמכו על ההחלטה שניתנה בעניין </w:t>
      </w:r>
      <w:proofErr w:type="spellStart"/>
      <w:r w:rsidRPr="00245419">
        <w:rPr>
          <w:rFonts w:ascii="Century" w:hAnsi="Century" w:cs="Miriam" w:hint="cs"/>
          <w:b/>
          <w:spacing w:val="0"/>
          <w:sz w:val="22"/>
          <w:szCs w:val="24"/>
          <w:rtl/>
        </w:rPr>
        <w:t>קוזלי</w:t>
      </w:r>
      <w:proofErr w:type="spellEnd"/>
      <w:r>
        <w:rPr>
          <w:rFonts w:hint="cs"/>
          <w:rtl/>
        </w:rPr>
        <w:t xml:space="preserve">, ובהחלטתו לא נפל שום רבב. שנית, בית משפט קמא התרשם באופן בלתי אמצעי מאמינות המפקחים אשר הוצעו מטעמו של המשיב למסגרת של מעצר-בית באזוק אלקטרוני. באשר למסוכנות הנשקפת מהמשיב, ברי הוא כי לפנינו מצב מיוחד שבו הרשעת המשיב בוטלה לאחר שהוטל ספק בראיות שכעת באות לאשש את אותה מסוכנות </w:t>
      </w:r>
      <w:r>
        <w:rPr>
          <w:rFonts w:hint="cs"/>
          <w:rtl/>
        </w:rPr>
        <w:lastRenderedPageBreak/>
        <w:t xml:space="preserve">ממש. זאת ועוד: המשיב חי למעלה מ-15 שנים מאחורי סורג ובריח, ללא חופשות, מבלי שתירשם לחובתו עבירת משמעת משמעותית ומבלי להסתבך במעשי אלימות </w:t>
      </w:r>
      <w:r>
        <w:rPr>
          <w:rtl/>
        </w:rPr>
        <w:t>–</w:t>
      </w:r>
      <w:r>
        <w:rPr>
          <w:rFonts w:hint="cs"/>
          <w:rtl/>
        </w:rPr>
        <w:t xml:space="preserve"> שאינם זרים, בלשון המעטה, לסביבה של אסירים פליליים. המדינה טענה בהקשר זה, כי את היעדרם של מעשים אלימים מצד המשיב כאסיר יש לזקוף לכך שבכלא שבו הוא שהה לא נמצאו קורבנות רכים ומוחלשים כדוגמת המנוחה. טענה זו אינה אלא השערה, ואני דוחה אותה. אוכלוסיית האסירים אינה הומוגנית: היא בוודאי כוללת בתוכה, לצד אנשי זרוע אלימים, אנשים מוחלשים שאינם יכולים להגן על עצמם. הנני סבור על כן, כפי שסבר בית משפט קמא, כי מסוכנותו של המשיב, כמי שעלול לנהוג באלימות כלפי הסובבים אותו, פחתה במהלך שהותו הארוכה בכלא. יחד עם כך, מסוכנות זו בוודאי לא נעלמה כליל: לנוכח הראיות אשר לכאורה מצביעות על כך שהמשיב רצח באכזריות ילדה בת 13, מסוכנות זו רחוקה מלהיות זניחה ואני ממקמה ברף בינוני עד בינוני-גבוה.</w:t>
      </w:r>
    </w:p>
    <w:p w:rsidR="003C5F47" w:rsidRPr="00092FF7" w:rsidRDefault="003C5F47" w:rsidP="003C5F47">
      <w:pPr>
        <w:pStyle w:val="Ruller41"/>
      </w:pPr>
    </w:p>
    <w:p w:rsidR="003C5F47" w:rsidRDefault="003C5F47" w:rsidP="003C5F47">
      <w:pPr>
        <w:pStyle w:val="Ruller4"/>
        <w:rPr>
          <w:rtl/>
        </w:rPr>
      </w:pPr>
      <w:r>
        <w:rPr>
          <w:rFonts w:hint="cs"/>
          <w:rtl/>
        </w:rPr>
        <w:t xml:space="preserve">בהתייחסה לרמת המסוכנות הנשקפת מהמשיב, המדינה טענה כי אין לגזור גזירה שווה בין מקרהו לבין המקרה אשר נדון בעניין </w:t>
      </w:r>
      <w:proofErr w:type="spellStart"/>
      <w:r w:rsidRPr="00F67A42">
        <w:rPr>
          <w:rFonts w:ascii="Century" w:hAnsi="Century" w:cs="Miriam" w:hint="cs"/>
          <w:b/>
          <w:spacing w:val="0"/>
          <w:sz w:val="22"/>
          <w:szCs w:val="24"/>
          <w:rtl/>
        </w:rPr>
        <w:t>קוזלי</w:t>
      </w:r>
      <w:proofErr w:type="spellEnd"/>
      <w:r>
        <w:rPr>
          <w:rFonts w:hint="cs"/>
          <w:rtl/>
        </w:rPr>
        <w:t xml:space="preserve">, בו דובר באסירים שמסוכנותם פחתה במידה ניכרת לאחר שיצאו לחופשות בתקופת מאסרם וחזרו מחופשות אלו לכלא ללא תקלות. עם טענה זו הנני מסכים. דא עקא, יציאה לחופשות וחזרה אל הכלא אינן בגדר ראיה בלעדית להוכחת ירידה במסוכנות הנשקפת מנאשם. העדר אלימות מצד המשיב במהלך שהותו ארוכת-השנים בבית הסוהר והתנהלותו התקינה כעובד במסגריית הכלא, גם הם בגדר ראיה קבילה ובעלת משקל; וכפי שכבר צוין על ידי, ראיה זו מפחיתה את מסוכנותו מרמה גבוהה מאד לרמה בינונית עד בינונית-גבוהה. בית משפט קמא צדק אפוא בהחליטו להעביר את המשיב למעצר באזוק אלקטרוני מחוץ לכלא. </w:t>
      </w:r>
    </w:p>
    <w:p w:rsidR="003C5F47" w:rsidRPr="008A344A" w:rsidRDefault="003C5F47" w:rsidP="003C5F47">
      <w:pPr>
        <w:pStyle w:val="Ruller41"/>
      </w:pPr>
    </w:p>
    <w:p w:rsidR="003C5F47" w:rsidRDefault="003C5F47" w:rsidP="003C5F47">
      <w:pPr>
        <w:pStyle w:val="Ruller4"/>
        <w:rPr>
          <w:rtl/>
        </w:rPr>
      </w:pPr>
      <w:r>
        <w:rPr>
          <w:rFonts w:hint="cs"/>
          <w:rtl/>
        </w:rPr>
        <w:t>בנקודה זו, לא נותר לי אלא לבחון את התנאים המגבילים שקבע בית המשפט בהחלטתו נשוא הערר. כפי שיוסבר להלן, תנאים אלה טעונים הידוק.</w:t>
      </w:r>
    </w:p>
    <w:p w:rsidR="003C5F47" w:rsidRDefault="003C5F47" w:rsidP="003C5F47">
      <w:pPr>
        <w:pStyle w:val="Ruller41"/>
        <w:rPr>
          <w:rtl/>
        </w:rPr>
      </w:pPr>
    </w:p>
    <w:p w:rsidR="003C5F47" w:rsidRPr="008A344A" w:rsidRDefault="003C5F47" w:rsidP="003C5F47">
      <w:pPr>
        <w:pStyle w:val="Ruller41"/>
        <w:rPr>
          <w:rFonts w:ascii="Century" w:hAnsi="Century" w:cs="Miriam"/>
          <w:b/>
          <w:spacing w:val="0"/>
          <w:szCs w:val="24"/>
          <w:rtl/>
        </w:rPr>
      </w:pPr>
      <w:r w:rsidRPr="008A344A">
        <w:rPr>
          <w:rFonts w:ascii="Century" w:hAnsi="Century" w:cs="Miriam" w:hint="cs"/>
          <w:b/>
          <w:spacing w:val="0"/>
          <w:szCs w:val="24"/>
          <w:rtl/>
        </w:rPr>
        <w:t xml:space="preserve">הידוק התנאים המגבילים להעברת המשיב למעצר </w:t>
      </w:r>
      <w:r>
        <w:rPr>
          <w:rFonts w:ascii="Century" w:hAnsi="Century" w:cs="Miriam" w:hint="cs"/>
          <w:b/>
          <w:spacing w:val="0"/>
          <w:szCs w:val="24"/>
          <w:rtl/>
        </w:rPr>
        <w:t>באזוק</w:t>
      </w:r>
      <w:r w:rsidRPr="008A344A">
        <w:rPr>
          <w:rFonts w:ascii="Century" w:hAnsi="Century" w:cs="Miriam" w:hint="cs"/>
          <w:b/>
          <w:spacing w:val="0"/>
          <w:szCs w:val="24"/>
          <w:rtl/>
        </w:rPr>
        <w:t xml:space="preserve"> אלקטרוני מחוץ לכלא</w:t>
      </w:r>
    </w:p>
    <w:p w:rsidR="003C5F47" w:rsidRPr="00916217" w:rsidRDefault="003C5F47" w:rsidP="003C5F47">
      <w:pPr>
        <w:pStyle w:val="Ruller41"/>
        <w:rPr>
          <w:rFonts w:ascii="Century" w:hAnsi="Century"/>
        </w:rPr>
      </w:pPr>
    </w:p>
    <w:p w:rsidR="003C5F47" w:rsidRDefault="003C5F47" w:rsidP="003C5F47">
      <w:pPr>
        <w:pStyle w:val="Ruller4"/>
        <w:rPr>
          <w:rtl/>
        </w:rPr>
      </w:pPr>
      <w:r w:rsidRPr="00916217">
        <w:rPr>
          <w:rFonts w:cs="Miriam" w:hint="cs"/>
          <w:b/>
          <w:spacing w:val="0"/>
          <w:szCs w:val="24"/>
          <w:rtl/>
        </w:rPr>
        <w:t>תכליתו של מעצר-בית היא לא להחליף מעצר בבית, אלא להפוך את הבית למעצר</w:t>
      </w:r>
      <w:r>
        <w:rPr>
          <w:rFonts w:hint="cs"/>
          <w:rtl/>
        </w:rPr>
        <w:t>. לטעמי, התנאים המגבילים שנקבעו על ידי בית משפט קמא ב</w:t>
      </w:r>
      <w:r w:rsidRPr="00916217">
        <w:rPr>
          <w:rFonts w:hint="cs"/>
          <w:rtl/>
        </w:rPr>
        <w:t xml:space="preserve">החלטתו </w:t>
      </w:r>
      <w:r>
        <w:rPr>
          <w:rFonts w:hint="cs"/>
          <w:rtl/>
        </w:rPr>
        <w:t>להעביר</w:t>
      </w:r>
      <w:r w:rsidRPr="00916217">
        <w:rPr>
          <w:rFonts w:hint="cs"/>
          <w:rtl/>
        </w:rPr>
        <w:t xml:space="preserve"> </w:t>
      </w:r>
      <w:r>
        <w:rPr>
          <w:rFonts w:hint="cs"/>
          <w:rtl/>
        </w:rPr>
        <w:t xml:space="preserve">את </w:t>
      </w:r>
      <w:r w:rsidRPr="00916217">
        <w:rPr>
          <w:rFonts w:hint="cs"/>
          <w:rtl/>
        </w:rPr>
        <w:t xml:space="preserve">המשיב למעצר </w:t>
      </w:r>
      <w:r>
        <w:rPr>
          <w:rFonts w:hint="cs"/>
          <w:rtl/>
        </w:rPr>
        <w:t>באזוק</w:t>
      </w:r>
      <w:r w:rsidRPr="00916217">
        <w:rPr>
          <w:rFonts w:hint="cs"/>
          <w:rtl/>
        </w:rPr>
        <w:t xml:space="preserve"> אלקטרוני מחוץ לכלא</w:t>
      </w:r>
      <w:r>
        <w:rPr>
          <w:rFonts w:hint="cs"/>
          <w:rtl/>
        </w:rPr>
        <w:t xml:space="preserve"> אינם מגשימים תכלית זאת במלואה. תנאים אלה יוצרים תלות רבה מדי של מערכת אכיפת החוק במפקחי המשיב; הם אינם יוצרים חיץ מבוקר בין המשיב לאנשים אחרים </w:t>
      </w:r>
      <w:r>
        <w:rPr>
          <w:rtl/>
        </w:rPr>
        <w:t>–</w:t>
      </w:r>
      <w:r>
        <w:rPr>
          <w:rFonts w:hint="cs"/>
          <w:rtl/>
        </w:rPr>
        <w:t xml:space="preserve"> נורמטיביים יותר ונורמטיביים פחות </w:t>
      </w:r>
      <w:r>
        <w:rPr>
          <w:rtl/>
        </w:rPr>
        <w:t>–</w:t>
      </w:r>
      <w:r>
        <w:rPr>
          <w:rFonts w:hint="cs"/>
          <w:rtl/>
        </w:rPr>
        <w:t xml:space="preserve"> אשר </w:t>
      </w:r>
      <w:r>
        <w:rPr>
          <w:rFonts w:hint="cs"/>
          <w:rtl/>
        </w:rPr>
        <w:lastRenderedPageBreak/>
        <w:t>עשויים לבוא עמו במגע; והם מפחיתים את יכולתן של רשויות האכיפה לעקוב אחר מעשיו של המשיב כמי שעלול להפר את תנאי החלופה למעצרו בכלא ולהיכשל בהתנהגות פורצת גבולות.</w:t>
      </w:r>
    </w:p>
    <w:p w:rsidR="003C5F47" w:rsidRPr="00FF22E9" w:rsidRDefault="003C5F47" w:rsidP="003C5F47">
      <w:pPr>
        <w:pStyle w:val="Ruller41"/>
      </w:pPr>
    </w:p>
    <w:p w:rsidR="003C5F47" w:rsidRDefault="003C5F47" w:rsidP="003C5F47">
      <w:pPr>
        <w:pStyle w:val="Ruller4"/>
        <w:rPr>
          <w:rtl/>
        </w:rPr>
      </w:pPr>
      <w:r>
        <w:rPr>
          <w:rFonts w:hint="cs"/>
          <w:rtl/>
        </w:rPr>
        <w:t xml:space="preserve">תנאים אלה טעונים אפוא תיקון בשני מישורים: (1) הטלת הגבלה על קהל המבקרים בבית הורי אשתו של המשיב, בו הוא ישהה במסגרת מעצרו תחת אזוק אלקטרוני (ראו והשוו: </w:t>
      </w:r>
      <w:r w:rsidRPr="00FF22E9">
        <w:rPr>
          <w:rFonts w:ascii="Century" w:hAnsi="Century" w:hint="cs"/>
          <w:sz w:val="22"/>
          <w:rtl/>
        </w:rPr>
        <w:t xml:space="preserve">סעיף </w:t>
      </w:r>
      <w:r>
        <w:rPr>
          <w:rFonts w:hint="cs"/>
          <w:rtl/>
        </w:rPr>
        <w:t>48(א)(4) לחוק המעצרים;</w:t>
      </w:r>
      <w:r>
        <w:rPr>
          <w:rFonts w:ascii="Century" w:hAnsi="Century" w:hint="cs"/>
          <w:sz w:val="22"/>
          <w:rtl/>
        </w:rPr>
        <w:t xml:space="preserve"> </w:t>
      </w:r>
      <w:proofErr w:type="spellStart"/>
      <w:r>
        <w:rPr>
          <w:rFonts w:ascii="Century" w:hAnsi="Century" w:hint="cs"/>
          <w:sz w:val="22"/>
          <w:rtl/>
        </w:rPr>
        <w:t>בש"פ</w:t>
      </w:r>
      <w:proofErr w:type="spellEnd"/>
      <w:r>
        <w:rPr>
          <w:rFonts w:ascii="Century" w:hAnsi="Century" w:hint="cs"/>
          <w:sz w:val="22"/>
          <w:rtl/>
        </w:rPr>
        <w:t xml:space="preserve"> 5814/06 </w:t>
      </w:r>
      <w:r w:rsidRPr="002C7979">
        <w:rPr>
          <w:rFonts w:ascii="Century" w:hAnsi="Century" w:cs="Miriam" w:hint="cs"/>
          <w:b/>
          <w:spacing w:val="0"/>
          <w:sz w:val="22"/>
          <w:szCs w:val="24"/>
          <w:rtl/>
        </w:rPr>
        <w:t>מדינת ישראל נ' אוחיון</w:t>
      </w:r>
      <w:r>
        <w:rPr>
          <w:rFonts w:ascii="Century" w:hAnsi="Century" w:hint="cs"/>
          <w:sz w:val="22"/>
          <w:rtl/>
        </w:rPr>
        <w:t xml:space="preserve"> (14.7.2006)</w:t>
      </w:r>
      <w:r>
        <w:rPr>
          <w:rFonts w:hint="cs"/>
          <w:rtl/>
        </w:rPr>
        <w:t xml:space="preserve">; </w:t>
      </w:r>
      <w:proofErr w:type="spellStart"/>
      <w:r w:rsidRPr="00CC5156">
        <w:rPr>
          <w:rFonts w:hint="eastAsia"/>
          <w:rtl/>
        </w:rPr>
        <w:t>בש</w:t>
      </w:r>
      <w:r w:rsidRPr="00CC5156">
        <w:rPr>
          <w:rtl/>
        </w:rPr>
        <w:t>"</w:t>
      </w:r>
      <w:r w:rsidRPr="00CC5156">
        <w:rPr>
          <w:rFonts w:hint="eastAsia"/>
          <w:rtl/>
        </w:rPr>
        <w:t>פ</w:t>
      </w:r>
      <w:proofErr w:type="spellEnd"/>
      <w:r w:rsidRPr="00CC5156">
        <w:rPr>
          <w:rtl/>
        </w:rPr>
        <w:t xml:space="preserve"> 1982/18 </w:t>
      </w:r>
      <w:r w:rsidRPr="00FF22E9">
        <w:rPr>
          <w:rFonts w:ascii="Century" w:hAnsi="Century" w:cs="Miriam" w:hint="eastAsia"/>
          <w:b/>
          <w:spacing w:val="0"/>
          <w:sz w:val="22"/>
          <w:szCs w:val="24"/>
          <w:rtl/>
        </w:rPr>
        <w:t>מדינת</w:t>
      </w:r>
      <w:r w:rsidRPr="00FF22E9">
        <w:rPr>
          <w:rFonts w:ascii="Century" w:hAnsi="Century" w:cs="Miriam"/>
          <w:b/>
          <w:spacing w:val="0"/>
          <w:sz w:val="22"/>
          <w:szCs w:val="24"/>
          <w:rtl/>
        </w:rPr>
        <w:t xml:space="preserve"> </w:t>
      </w:r>
      <w:r w:rsidRPr="00FF22E9">
        <w:rPr>
          <w:rFonts w:ascii="Century" w:hAnsi="Century" w:cs="Miriam" w:hint="eastAsia"/>
          <w:b/>
          <w:spacing w:val="0"/>
          <w:sz w:val="22"/>
          <w:szCs w:val="24"/>
          <w:rtl/>
        </w:rPr>
        <w:t>ישראל</w:t>
      </w:r>
      <w:r w:rsidRPr="00FF22E9">
        <w:rPr>
          <w:rFonts w:ascii="Century" w:hAnsi="Century" w:cs="Miriam"/>
          <w:b/>
          <w:spacing w:val="0"/>
          <w:sz w:val="22"/>
          <w:szCs w:val="24"/>
          <w:rtl/>
        </w:rPr>
        <w:t xml:space="preserve"> </w:t>
      </w:r>
      <w:r w:rsidRPr="00FF22E9">
        <w:rPr>
          <w:rFonts w:ascii="Century" w:hAnsi="Century" w:cs="Miriam" w:hint="eastAsia"/>
          <w:b/>
          <w:spacing w:val="0"/>
          <w:sz w:val="22"/>
          <w:szCs w:val="24"/>
          <w:rtl/>
        </w:rPr>
        <w:t>נ</w:t>
      </w:r>
      <w:r w:rsidRPr="00FF22E9">
        <w:rPr>
          <w:rFonts w:ascii="Century" w:hAnsi="Century" w:cs="Miriam"/>
          <w:b/>
          <w:spacing w:val="0"/>
          <w:sz w:val="22"/>
          <w:szCs w:val="24"/>
          <w:rtl/>
        </w:rPr>
        <w:t xml:space="preserve">' </w:t>
      </w:r>
      <w:r w:rsidRPr="00FF22E9">
        <w:rPr>
          <w:rFonts w:ascii="Century" w:hAnsi="Century" w:cs="Miriam" w:hint="eastAsia"/>
          <w:b/>
          <w:spacing w:val="0"/>
          <w:sz w:val="22"/>
          <w:szCs w:val="24"/>
          <w:rtl/>
        </w:rPr>
        <w:t>פלוני</w:t>
      </w:r>
      <w:r>
        <w:rPr>
          <w:rFonts w:hint="cs"/>
          <w:rtl/>
        </w:rPr>
        <w:t xml:space="preserve"> </w:t>
      </w:r>
      <w:r w:rsidRPr="00CC5156">
        <w:rPr>
          <w:rtl/>
        </w:rPr>
        <w:t>(27.3.2018)</w:t>
      </w:r>
      <w:r>
        <w:rPr>
          <w:rFonts w:hint="cs"/>
          <w:rtl/>
        </w:rPr>
        <w:t xml:space="preserve">; </w:t>
      </w:r>
      <w:proofErr w:type="spellStart"/>
      <w:r>
        <w:rPr>
          <w:rFonts w:hint="cs"/>
          <w:rtl/>
        </w:rPr>
        <w:t>בש"פ</w:t>
      </w:r>
      <w:proofErr w:type="spellEnd"/>
      <w:r>
        <w:rPr>
          <w:rFonts w:hint="cs"/>
          <w:rtl/>
        </w:rPr>
        <w:t xml:space="preserve"> 5796/18 </w:t>
      </w:r>
      <w:r w:rsidRPr="002C7979">
        <w:rPr>
          <w:rFonts w:ascii="Century" w:hAnsi="Century" w:cs="Miriam" w:hint="cs"/>
          <w:b/>
          <w:spacing w:val="0"/>
          <w:sz w:val="22"/>
          <w:szCs w:val="24"/>
          <w:rtl/>
        </w:rPr>
        <w:t>מדינת ישראל נ' פלוני</w:t>
      </w:r>
      <w:r w:rsidRPr="0084426D">
        <w:rPr>
          <w:rFonts w:hint="cs"/>
          <w:rtl/>
        </w:rPr>
        <w:t xml:space="preserve"> </w:t>
      </w:r>
      <w:r>
        <w:rPr>
          <w:rFonts w:hint="cs"/>
          <w:rtl/>
        </w:rPr>
        <w:t xml:space="preserve">(19.8.2018); </w:t>
      </w:r>
      <w:proofErr w:type="spellStart"/>
      <w:r w:rsidRPr="00E712DC">
        <w:rPr>
          <w:rFonts w:hint="eastAsia"/>
          <w:rtl/>
        </w:rPr>
        <w:t>מ</w:t>
      </w:r>
      <w:r w:rsidRPr="00E712DC">
        <w:rPr>
          <w:rtl/>
        </w:rPr>
        <w:t>"</w:t>
      </w:r>
      <w:r w:rsidRPr="00E712DC">
        <w:rPr>
          <w:rFonts w:hint="eastAsia"/>
          <w:rtl/>
        </w:rPr>
        <w:t>ת</w:t>
      </w:r>
      <w:proofErr w:type="spellEnd"/>
      <w:r w:rsidRPr="00E712DC">
        <w:rPr>
          <w:rtl/>
        </w:rPr>
        <w:t xml:space="preserve"> (</w:t>
      </w:r>
      <w:r w:rsidRPr="00E712DC">
        <w:rPr>
          <w:rFonts w:hint="eastAsia"/>
          <w:rtl/>
        </w:rPr>
        <w:t>מחוזי</w:t>
      </w:r>
      <w:r w:rsidRPr="00E712DC">
        <w:rPr>
          <w:rtl/>
        </w:rPr>
        <w:t xml:space="preserve"> </w:t>
      </w:r>
      <w:r w:rsidRPr="00E712DC">
        <w:rPr>
          <w:rFonts w:hint="eastAsia"/>
          <w:rtl/>
        </w:rPr>
        <w:t>ב</w:t>
      </w:r>
      <w:r w:rsidRPr="00E712DC">
        <w:rPr>
          <w:rtl/>
        </w:rPr>
        <w:t>"</w:t>
      </w:r>
      <w:r w:rsidRPr="00E712DC">
        <w:rPr>
          <w:rFonts w:hint="eastAsia"/>
          <w:rtl/>
        </w:rPr>
        <w:t>ש</w:t>
      </w:r>
      <w:r w:rsidRPr="00E712DC">
        <w:rPr>
          <w:rtl/>
        </w:rPr>
        <w:t xml:space="preserve">) 43930-11-14 </w:t>
      </w:r>
      <w:r w:rsidRPr="00FF22E9">
        <w:rPr>
          <w:rFonts w:ascii="Century" w:hAnsi="Century" w:cs="Miriam" w:hint="eastAsia"/>
          <w:b/>
          <w:spacing w:val="0"/>
          <w:sz w:val="22"/>
          <w:szCs w:val="24"/>
          <w:rtl/>
        </w:rPr>
        <w:t>מדינת</w:t>
      </w:r>
      <w:r w:rsidRPr="00FF22E9">
        <w:rPr>
          <w:rFonts w:ascii="Century" w:hAnsi="Century" w:cs="Miriam"/>
          <w:b/>
          <w:spacing w:val="0"/>
          <w:sz w:val="22"/>
          <w:szCs w:val="24"/>
          <w:rtl/>
        </w:rPr>
        <w:t xml:space="preserve"> </w:t>
      </w:r>
      <w:r w:rsidRPr="00FF22E9">
        <w:rPr>
          <w:rFonts w:ascii="Century" w:hAnsi="Century" w:cs="Miriam" w:hint="eastAsia"/>
          <w:b/>
          <w:spacing w:val="0"/>
          <w:sz w:val="22"/>
          <w:szCs w:val="24"/>
          <w:rtl/>
        </w:rPr>
        <w:t>ישראל</w:t>
      </w:r>
      <w:r w:rsidRPr="00FF22E9">
        <w:rPr>
          <w:rFonts w:ascii="Century" w:hAnsi="Century" w:cs="Miriam"/>
          <w:b/>
          <w:spacing w:val="0"/>
          <w:sz w:val="22"/>
          <w:szCs w:val="24"/>
          <w:rtl/>
        </w:rPr>
        <w:t xml:space="preserve"> </w:t>
      </w:r>
      <w:r w:rsidRPr="00FF22E9">
        <w:rPr>
          <w:rFonts w:ascii="Century" w:hAnsi="Century" w:cs="Miriam" w:hint="eastAsia"/>
          <w:b/>
          <w:spacing w:val="0"/>
          <w:sz w:val="22"/>
          <w:szCs w:val="24"/>
          <w:rtl/>
        </w:rPr>
        <w:t>נ</w:t>
      </w:r>
      <w:r w:rsidRPr="00FF22E9">
        <w:rPr>
          <w:rFonts w:ascii="Century" w:hAnsi="Century" w:cs="Miriam"/>
          <w:b/>
          <w:spacing w:val="0"/>
          <w:sz w:val="22"/>
          <w:szCs w:val="24"/>
          <w:rtl/>
        </w:rPr>
        <w:t xml:space="preserve">' </w:t>
      </w:r>
      <w:r w:rsidRPr="00FF22E9">
        <w:rPr>
          <w:rFonts w:ascii="Century" w:hAnsi="Century" w:cs="Miriam" w:hint="eastAsia"/>
          <w:b/>
          <w:spacing w:val="0"/>
          <w:sz w:val="22"/>
          <w:szCs w:val="24"/>
          <w:rtl/>
        </w:rPr>
        <w:t>פיטוסי</w:t>
      </w:r>
      <w:r w:rsidRPr="00E712DC">
        <w:rPr>
          <w:rtl/>
        </w:rPr>
        <w:t xml:space="preserve"> (18.12.2014)</w:t>
      </w:r>
      <w:r>
        <w:rPr>
          <w:rFonts w:hint="cs"/>
          <w:rtl/>
        </w:rPr>
        <w:t xml:space="preserve">); וכן, (2) מתן היתר למשטרת ישראל להאזין בסתר לשיחות שינהלו המשיב ומפקחיו באמצעות מכשירי טלפון, סלולריים וקוויים, וכן באמצעות מחשבים ואמצעי תקשורת אחרים (ראו והשוו: פסקה 12ד להחלטתי בעניין </w:t>
      </w:r>
      <w:r w:rsidRPr="00FF22E9">
        <w:rPr>
          <w:rFonts w:cs="Miriam" w:hint="cs"/>
          <w:b/>
          <w:spacing w:val="0"/>
          <w:szCs w:val="24"/>
          <w:rtl/>
        </w:rPr>
        <w:t>פוגל</w:t>
      </w:r>
      <w:r>
        <w:rPr>
          <w:rFonts w:hint="cs"/>
          <w:rtl/>
        </w:rPr>
        <w:t xml:space="preserve">, והאסמכתאות שם). </w:t>
      </w:r>
    </w:p>
    <w:p w:rsidR="003C5F47" w:rsidRPr="005F6D2E" w:rsidRDefault="003C5F47" w:rsidP="003C5F47">
      <w:pPr>
        <w:pStyle w:val="Ruller41"/>
      </w:pPr>
    </w:p>
    <w:p w:rsidR="003C5F47" w:rsidRDefault="003C5F47" w:rsidP="003C5F47">
      <w:pPr>
        <w:pStyle w:val="Ruller4"/>
        <w:rPr>
          <w:rtl/>
        </w:rPr>
      </w:pPr>
      <w:r>
        <w:rPr>
          <w:rFonts w:hint="cs"/>
          <w:rtl/>
        </w:rPr>
        <w:t xml:space="preserve">הטלת המגבלות הללו אינה בגדר דבר של מה-בכך (ראו והשוו: פסקה 9 להחלטת השופטת </w:t>
      </w:r>
      <w:r w:rsidRPr="00EE650E">
        <w:rPr>
          <w:rFonts w:ascii="Century" w:hAnsi="Century" w:cs="Miriam" w:hint="cs"/>
          <w:b/>
          <w:spacing w:val="0"/>
          <w:sz w:val="22"/>
          <w:szCs w:val="24"/>
          <w:rtl/>
        </w:rPr>
        <w:t>א' חיות</w:t>
      </w:r>
      <w:r>
        <w:rPr>
          <w:rFonts w:hint="cs"/>
          <w:rtl/>
        </w:rPr>
        <w:t xml:space="preserve"> (כתוארה אז) </w:t>
      </w:r>
      <w:proofErr w:type="spellStart"/>
      <w:r>
        <w:rPr>
          <w:rFonts w:hint="cs"/>
          <w:rtl/>
        </w:rPr>
        <w:t>ב</w:t>
      </w:r>
      <w:r w:rsidRPr="00EE650E">
        <w:rPr>
          <w:rFonts w:ascii="Century" w:hAnsi="Century" w:hint="eastAsia"/>
          <w:sz w:val="22"/>
          <w:rtl/>
        </w:rPr>
        <w:t>בש</w:t>
      </w:r>
      <w:r w:rsidRPr="00EE650E">
        <w:rPr>
          <w:rFonts w:ascii="Century" w:hAnsi="Century"/>
          <w:sz w:val="22"/>
          <w:rtl/>
        </w:rPr>
        <w:t>"</w:t>
      </w:r>
      <w:r w:rsidRPr="00EE650E">
        <w:rPr>
          <w:rFonts w:ascii="Century" w:hAnsi="Century" w:hint="eastAsia"/>
          <w:sz w:val="22"/>
          <w:rtl/>
        </w:rPr>
        <w:t>פ</w:t>
      </w:r>
      <w:proofErr w:type="spellEnd"/>
      <w:r w:rsidRPr="00EE650E">
        <w:rPr>
          <w:rFonts w:ascii="Century" w:hAnsi="Century"/>
          <w:sz w:val="22"/>
          <w:rtl/>
        </w:rPr>
        <w:t xml:space="preserve"> 3431/08 </w:t>
      </w:r>
      <w:r w:rsidRPr="00EE650E">
        <w:rPr>
          <w:rFonts w:ascii="Century" w:hAnsi="Century" w:cs="Miriam" w:hint="eastAsia"/>
          <w:b/>
          <w:spacing w:val="0"/>
          <w:sz w:val="22"/>
          <w:szCs w:val="24"/>
          <w:rtl/>
        </w:rPr>
        <w:t>שלום</w:t>
      </w:r>
      <w:r w:rsidRPr="00EE650E">
        <w:rPr>
          <w:rFonts w:ascii="Century" w:hAnsi="Century" w:cs="Miriam"/>
          <w:b/>
          <w:spacing w:val="0"/>
          <w:sz w:val="22"/>
          <w:szCs w:val="24"/>
          <w:rtl/>
        </w:rPr>
        <w:t xml:space="preserve"> </w:t>
      </w:r>
      <w:r w:rsidRPr="00EE650E">
        <w:rPr>
          <w:rFonts w:ascii="Century" w:hAnsi="Century" w:cs="Miriam" w:hint="eastAsia"/>
          <w:b/>
          <w:spacing w:val="0"/>
          <w:sz w:val="22"/>
          <w:szCs w:val="24"/>
          <w:rtl/>
        </w:rPr>
        <w:t>נ</w:t>
      </w:r>
      <w:r w:rsidRPr="00EE650E">
        <w:rPr>
          <w:rFonts w:ascii="Century" w:hAnsi="Century" w:cs="Miriam"/>
          <w:b/>
          <w:spacing w:val="0"/>
          <w:sz w:val="22"/>
          <w:szCs w:val="24"/>
          <w:rtl/>
        </w:rPr>
        <w:t xml:space="preserve">' </w:t>
      </w:r>
      <w:r w:rsidRPr="00EE650E">
        <w:rPr>
          <w:rFonts w:ascii="Century" w:hAnsi="Century" w:cs="Miriam" w:hint="eastAsia"/>
          <w:b/>
          <w:spacing w:val="0"/>
          <w:sz w:val="22"/>
          <w:szCs w:val="24"/>
          <w:rtl/>
        </w:rPr>
        <w:t>מדינת</w:t>
      </w:r>
      <w:r w:rsidRPr="00EE650E">
        <w:rPr>
          <w:rFonts w:ascii="Century" w:hAnsi="Century" w:cs="Miriam"/>
          <w:b/>
          <w:spacing w:val="0"/>
          <w:sz w:val="22"/>
          <w:szCs w:val="24"/>
          <w:rtl/>
        </w:rPr>
        <w:t xml:space="preserve"> </w:t>
      </w:r>
      <w:r w:rsidRPr="00EE650E">
        <w:rPr>
          <w:rFonts w:ascii="Century" w:hAnsi="Century" w:cs="Miriam" w:hint="eastAsia"/>
          <w:b/>
          <w:spacing w:val="0"/>
          <w:sz w:val="22"/>
          <w:szCs w:val="24"/>
          <w:rtl/>
        </w:rPr>
        <w:t>ישראל</w:t>
      </w:r>
      <w:r>
        <w:rPr>
          <w:rFonts w:ascii="Century" w:hAnsi="Century" w:hint="cs"/>
          <w:sz w:val="22"/>
          <w:rtl/>
        </w:rPr>
        <w:t xml:space="preserve"> </w:t>
      </w:r>
      <w:r w:rsidRPr="00EE650E">
        <w:rPr>
          <w:rFonts w:ascii="Century" w:hAnsi="Century"/>
          <w:sz w:val="22"/>
          <w:rtl/>
        </w:rPr>
        <w:t>(1.5.2008</w:t>
      </w:r>
      <w:r>
        <w:rPr>
          <w:rFonts w:hint="cs"/>
          <w:rtl/>
        </w:rPr>
        <w:t xml:space="preserve">); וכן, </w:t>
      </w:r>
      <w:r w:rsidRPr="00EE650E">
        <w:rPr>
          <w:rFonts w:ascii="Century" w:hAnsi="Century" w:hint="cs"/>
          <w:sz w:val="22"/>
          <w:rtl/>
        </w:rPr>
        <w:t xml:space="preserve">פסקה 12ד להחלטתי בעניין </w:t>
      </w:r>
      <w:r w:rsidRPr="00EE650E">
        <w:rPr>
          <w:rFonts w:ascii="Century" w:hAnsi="Century" w:cs="Miriam" w:hint="cs"/>
          <w:b/>
          <w:spacing w:val="0"/>
          <w:sz w:val="22"/>
          <w:szCs w:val="24"/>
          <w:rtl/>
        </w:rPr>
        <w:t>פוגל</w:t>
      </w:r>
      <w:r w:rsidRPr="00EE650E">
        <w:rPr>
          <w:rFonts w:ascii="Century" w:hAnsi="Century" w:hint="cs"/>
          <w:sz w:val="22"/>
          <w:rtl/>
        </w:rPr>
        <w:t>, והאסמכתאות שם</w:t>
      </w:r>
      <w:r>
        <w:rPr>
          <w:rFonts w:hint="cs"/>
          <w:rtl/>
        </w:rPr>
        <w:t xml:space="preserve">). מדובר בתנאים מגבילים קשיחים לכל הדעות. ואולם, </w:t>
      </w:r>
      <w:r w:rsidRPr="00681388">
        <w:rPr>
          <w:rFonts w:hint="cs"/>
          <w:rtl/>
        </w:rPr>
        <w:t>לנוכח המסוכנות שעודנה נשקפת מהמשיב, סבורני כי אין מנוס מהטלת</w:t>
      </w:r>
      <w:r>
        <w:rPr>
          <w:rFonts w:hint="cs"/>
          <w:rtl/>
        </w:rPr>
        <w:t>ם</w:t>
      </w:r>
      <w:r w:rsidRPr="00681388">
        <w:rPr>
          <w:rFonts w:hint="cs"/>
          <w:rtl/>
        </w:rPr>
        <w:t xml:space="preserve"> לצד העברת</w:t>
      </w:r>
      <w:r>
        <w:rPr>
          <w:rFonts w:hint="cs"/>
          <w:rtl/>
        </w:rPr>
        <w:t xml:space="preserve"> המשיב</w:t>
      </w:r>
      <w:r w:rsidRPr="00681388">
        <w:rPr>
          <w:rFonts w:hint="cs"/>
          <w:rtl/>
        </w:rPr>
        <w:t xml:space="preserve"> מן הכלא למע</w:t>
      </w:r>
      <w:r>
        <w:rPr>
          <w:rFonts w:hint="cs"/>
          <w:rtl/>
        </w:rPr>
        <w:t xml:space="preserve">צר-בית בתנאים של אזוק אלקטרוני, כפי שקבע בית משפט קמא. </w:t>
      </w:r>
    </w:p>
    <w:p w:rsidR="003C5F47" w:rsidRPr="00681388" w:rsidRDefault="003C5F47" w:rsidP="003C5F47">
      <w:pPr>
        <w:pStyle w:val="Ruller41"/>
      </w:pPr>
    </w:p>
    <w:p w:rsidR="003C5F47" w:rsidRDefault="003C5F47" w:rsidP="003C5F47">
      <w:pPr>
        <w:pStyle w:val="Ruller4"/>
        <w:rPr>
          <w:rFonts w:ascii="Century" w:hAnsi="Century"/>
          <w:sz w:val="22"/>
          <w:rtl/>
        </w:rPr>
      </w:pPr>
      <w:r>
        <w:rPr>
          <w:rFonts w:ascii="Century" w:hAnsi="Century" w:hint="cs"/>
          <w:sz w:val="22"/>
          <w:rtl/>
        </w:rPr>
        <w:t>אשר על כן, לתנאים המגבילים שנקבעו בהחלטה קמא ייווספ</w:t>
      </w:r>
      <w:r>
        <w:rPr>
          <w:rFonts w:ascii="Century" w:hAnsi="Century" w:hint="eastAsia"/>
          <w:sz w:val="22"/>
          <w:rtl/>
        </w:rPr>
        <w:t>ו</w:t>
      </w:r>
      <w:r>
        <w:rPr>
          <w:rFonts w:ascii="Century" w:hAnsi="Century" w:hint="cs"/>
          <w:sz w:val="22"/>
          <w:rtl/>
        </w:rPr>
        <w:t xml:space="preserve"> שלושה תנאים מצטברים כדלקמן: </w:t>
      </w:r>
    </w:p>
    <w:p w:rsidR="003C5F47" w:rsidRDefault="003C5F47" w:rsidP="003C5F47">
      <w:pPr>
        <w:pStyle w:val="Ruller41"/>
        <w:rPr>
          <w:rtl/>
        </w:rPr>
      </w:pPr>
    </w:p>
    <w:p w:rsidR="003C5F47" w:rsidRDefault="003C5F47" w:rsidP="003C5F47">
      <w:pPr>
        <w:pStyle w:val="Ruller41"/>
        <w:numPr>
          <w:ilvl w:val="0"/>
          <w:numId w:val="19"/>
        </w:numPr>
        <w:rPr>
          <w:rtl/>
        </w:rPr>
      </w:pPr>
      <w:r>
        <w:rPr>
          <w:rFonts w:hint="cs"/>
          <w:rtl/>
        </w:rPr>
        <w:t xml:space="preserve">מוטל בזאת איסור על כניסת מבקרים לשטח הבית בו יהא המשיב עצור באזוק אלקטרוני </w:t>
      </w:r>
      <w:r>
        <w:rPr>
          <w:rtl/>
        </w:rPr>
        <w:t>–</w:t>
      </w:r>
      <w:r>
        <w:rPr>
          <w:rFonts w:hint="cs"/>
          <w:rtl/>
        </w:rPr>
        <w:t xml:space="preserve"> </w:t>
      </w:r>
      <w:r w:rsidRPr="00E712DC">
        <w:rPr>
          <w:rFonts w:hint="eastAsia"/>
          <w:rtl/>
        </w:rPr>
        <w:t>למעט</w:t>
      </w:r>
      <w:r w:rsidRPr="00E712DC">
        <w:rPr>
          <w:rtl/>
        </w:rPr>
        <w:t xml:space="preserve"> </w:t>
      </w:r>
      <w:r w:rsidRPr="00E712DC">
        <w:rPr>
          <w:rFonts w:hint="eastAsia"/>
          <w:rtl/>
        </w:rPr>
        <w:t>בני</w:t>
      </w:r>
      <w:r w:rsidRPr="00E712DC">
        <w:rPr>
          <w:rtl/>
        </w:rPr>
        <w:t xml:space="preserve"> </w:t>
      </w:r>
      <w:r w:rsidRPr="00E712DC">
        <w:rPr>
          <w:rFonts w:hint="eastAsia"/>
          <w:rtl/>
        </w:rPr>
        <w:t>משפחה</w:t>
      </w:r>
      <w:r w:rsidRPr="00E712DC">
        <w:rPr>
          <w:rtl/>
        </w:rPr>
        <w:t xml:space="preserve"> </w:t>
      </w:r>
      <w:r w:rsidRPr="00E712DC">
        <w:rPr>
          <w:rFonts w:hint="eastAsia"/>
          <w:rtl/>
        </w:rPr>
        <w:t>מדרגה</w:t>
      </w:r>
      <w:r w:rsidRPr="00E712DC">
        <w:rPr>
          <w:rtl/>
        </w:rPr>
        <w:t xml:space="preserve"> </w:t>
      </w:r>
      <w:r w:rsidRPr="00E712DC">
        <w:rPr>
          <w:rFonts w:hint="eastAsia"/>
          <w:rtl/>
        </w:rPr>
        <w:t>ראשונה</w:t>
      </w:r>
      <w:r w:rsidRPr="00E712DC">
        <w:rPr>
          <w:rtl/>
        </w:rPr>
        <w:t xml:space="preserve"> </w:t>
      </w:r>
      <w:r w:rsidRPr="00E712DC">
        <w:rPr>
          <w:rFonts w:hint="eastAsia"/>
          <w:rtl/>
        </w:rPr>
        <w:t>או</w:t>
      </w:r>
      <w:r w:rsidRPr="00E712DC">
        <w:rPr>
          <w:rtl/>
        </w:rPr>
        <w:t xml:space="preserve"> </w:t>
      </w:r>
      <w:r w:rsidRPr="00E712DC">
        <w:rPr>
          <w:rFonts w:hint="eastAsia"/>
          <w:rtl/>
        </w:rPr>
        <w:t>שניה</w:t>
      </w:r>
      <w:r>
        <w:rPr>
          <w:rFonts w:hint="cs"/>
          <w:rtl/>
        </w:rPr>
        <w:t xml:space="preserve"> של המשיב או של אחד מהמפקחים אשר נמצא עמו בבית, ולמעט באי-כוחו של המשיב אשר מייצגים אותו במשפט החוזר ובהליכים נלווים.</w:t>
      </w:r>
      <w:r w:rsidRPr="00E712DC">
        <w:rPr>
          <w:rFonts w:hint="cs"/>
          <w:rtl/>
        </w:rPr>
        <w:t xml:space="preserve"> </w:t>
      </w:r>
    </w:p>
    <w:p w:rsidR="003C5F47" w:rsidRDefault="003C5F47" w:rsidP="003C5F47">
      <w:pPr>
        <w:pStyle w:val="Ruller41"/>
        <w:ind w:left="720"/>
      </w:pPr>
    </w:p>
    <w:p w:rsidR="003C5F47" w:rsidRDefault="003C5F47" w:rsidP="003C5F47">
      <w:pPr>
        <w:pStyle w:val="Ruller41"/>
        <w:numPr>
          <w:ilvl w:val="0"/>
          <w:numId w:val="19"/>
        </w:numPr>
      </w:pPr>
      <w:r>
        <w:rPr>
          <w:rFonts w:hint="cs"/>
          <w:rtl/>
        </w:rPr>
        <w:t>גורמי אכיפת החוק המוסמכים יורשו לבצע האזנות סתר ל</w:t>
      </w:r>
      <w:r w:rsidRPr="00A043EE">
        <w:rPr>
          <w:rFonts w:ascii="Century" w:hAnsi="Century" w:hint="cs"/>
          <w:rtl/>
        </w:rPr>
        <w:t>מכשירי טלפון, סלולריים וקווי</w:t>
      </w:r>
      <w:r>
        <w:rPr>
          <w:rFonts w:ascii="Century" w:hAnsi="Century" w:hint="cs"/>
          <w:rtl/>
        </w:rPr>
        <w:t>י</w:t>
      </w:r>
      <w:r w:rsidRPr="00A043EE">
        <w:rPr>
          <w:rFonts w:ascii="Century" w:hAnsi="Century" w:hint="cs"/>
          <w:rtl/>
        </w:rPr>
        <w:t xml:space="preserve">ם, וכן </w:t>
      </w:r>
      <w:r>
        <w:rPr>
          <w:rFonts w:ascii="Century" w:hAnsi="Century" w:hint="cs"/>
          <w:rtl/>
        </w:rPr>
        <w:t>ל</w:t>
      </w:r>
      <w:r w:rsidRPr="00A043EE">
        <w:rPr>
          <w:rFonts w:ascii="Century" w:hAnsi="Century" w:hint="cs"/>
          <w:rtl/>
        </w:rPr>
        <w:t>מחשבים ו</w:t>
      </w:r>
      <w:r>
        <w:rPr>
          <w:rFonts w:ascii="Century" w:hAnsi="Century" w:hint="cs"/>
          <w:rtl/>
        </w:rPr>
        <w:t>ל</w:t>
      </w:r>
      <w:r w:rsidRPr="00A043EE">
        <w:rPr>
          <w:rFonts w:ascii="Century" w:hAnsi="Century" w:hint="cs"/>
          <w:rtl/>
        </w:rPr>
        <w:t>אמצעי תקשורת אחרים</w:t>
      </w:r>
      <w:r>
        <w:rPr>
          <w:rFonts w:ascii="Century" w:hAnsi="Century" w:hint="cs"/>
          <w:rtl/>
        </w:rPr>
        <w:t xml:space="preserve"> מהם תנוהלנה שיחות על ידי המשיב או אחד ממפקחיו משטח הבית בו יהא המשיב עצור באזוק אלקטרוני </w:t>
      </w:r>
      <w:r>
        <w:rPr>
          <w:rFonts w:ascii="Century" w:hAnsi="Century"/>
          <w:rtl/>
        </w:rPr>
        <w:t>–</w:t>
      </w:r>
      <w:r>
        <w:rPr>
          <w:rFonts w:ascii="Century" w:hAnsi="Century" w:hint="cs"/>
          <w:rtl/>
        </w:rPr>
        <w:t xml:space="preserve"> זאת, מבלי לגרוע מכלל סמכויות האכיפה הקיימות בדין </w:t>
      </w:r>
      <w:r>
        <w:rPr>
          <w:rFonts w:ascii="Century" w:hAnsi="Century" w:hint="cs"/>
          <w:rtl/>
        </w:rPr>
        <w:lastRenderedPageBreak/>
        <w:t>וכדי להבטיח את מילוי התנאים המגבילים אשר נקבעו בהחלטה קמא, בהחלטתי הנוכחית ובחוק המעצרים. בהקשר זה, ברצוני להפנות לאמור בסעיף 8(1) סיפא לחוק האזנת סתר, התשל"ט-1979, אשר קובע, בין היתר, כי "</w:t>
      </w:r>
      <w:r w:rsidRPr="00D57C70">
        <w:rPr>
          <w:rFonts w:ascii="Century" w:hAnsi="Century" w:hint="eastAsia"/>
          <w:rtl/>
        </w:rPr>
        <w:t>מקום</w:t>
      </w:r>
      <w:r w:rsidRPr="00D57C70">
        <w:rPr>
          <w:rFonts w:ascii="Century" w:hAnsi="Century"/>
          <w:rtl/>
        </w:rPr>
        <w:t xml:space="preserve"> </w:t>
      </w:r>
      <w:r w:rsidRPr="00D57C70">
        <w:rPr>
          <w:rFonts w:ascii="Century" w:hAnsi="Century" w:hint="eastAsia"/>
          <w:rtl/>
        </w:rPr>
        <w:t>שבו</w:t>
      </w:r>
      <w:r w:rsidRPr="00D57C70">
        <w:rPr>
          <w:rFonts w:ascii="Century" w:hAnsi="Century"/>
          <w:rtl/>
        </w:rPr>
        <w:t xml:space="preserve"> </w:t>
      </w:r>
      <w:r w:rsidRPr="00D57C70">
        <w:rPr>
          <w:rFonts w:ascii="Century" w:hAnsi="Century" w:hint="eastAsia"/>
          <w:rtl/>
        </w:rPr>
        <w:t>מוחזק</w:t>
      </w:r>
      <w:r w:rsidRPr="00D57C70">
        <w:rPr>
          <w:rFonts w:ascii="Century" w:hAnsi="Century"/>
          <w:rtl/>
        </w:rPr>
        <w:t xml:space="preserve"> </w:t>
      </w:r>
      <w:r w:rsidRPr="00D57C70">
        <w:rPr>
          <w:rFonts w:ascii="Century" w:hAnsi="Century" w:hint="eastAsia"/>
          <w:rtl/>
        </w:rPr>
        <w:t>אותה</w:t>
      </w:r>
      <w:r w:rsidRPr="00D57C70">
        <w:rPr>
          <w:rFonts w:ascii="Century" w:hAnsi="Century"/>
          <w:rtl/>
        </w:rPr>
        <w:t xml:space="preserve"> </w:t>
      </w:r>
      <w:r w:rsidRPr="00D57C70">
        <w:rPr>
          <w:rFonts w:ascii="Century" w:hAnsi="Century" w:hint="eastAsia"/>
          <w:rtl/>
        </w:rPr>
        <w:t>שעה</w:t>
      </w:r>
      <w:r w:rsidRPr="00D57C70">
        <w:rPr>
          <w:rFonts w:ascii="Century" w:hAnsi="Century"/>
          <w:rtl/>
        </w:rPr>
        <w:t xml:space="preserve"> </w:t>
      </w:r>
      <w:r w:rsidRPr="00D57C70">
        <w:rPr>
          <w:rFonts w:ascii="Century" w:hAnsi="Century" w:hint="eastAsia"/>
          <w:rtl/>
        </w:rPr>
        <w:t>עצור</w:t>
      </w:r>
      <w:r w:rsidRPr="00D57C70">
        <w:rPr>
          <w:rFonts w:ascii="Century" w:hAnsi="Century"/>
          <w:rtl/>
        </w:rPr>
        <w:t xml:space="preserve"> </w:t>
      </w:r>
      <w:r w:rsidRPr="00D57C70">
        <w:rPr>
          <w:rFonts w:ascii="Century" w:hAnsi="Century" w:hint="eastAsia"/>
          <w:rtl/>
        </w:rPr>
        <w:t>או</w:t>
      </w:r>
      <w:r w:rsidRPr="00D57C70">
        <w:rPr>
          <w:rFonts w:ascii="Century" w:hAnsi="Century"/>
          <w:rtl/>
        </w:rPr>
        <w:t xml:space="preserve"> </w:t>
      </w:r>
      <w:r w:rsidRPr="00D57C70">
        <w:rPr>
          <w:rFonts w:ascii="Century" w:hAnsi="Century" w:hint="eastAsia"/>
          <w:rtl/>
        </w:rPr>
        <w:t>אסיר</w:t>
      </w:r>
      <w:r>
        <w:rPr>
          <w:rFonts w:ascii="Century" w:hAnsi="Century" w:hint="cs"/>
          <w:rtl/>
        </w:rPr>
        <w:t xml:space="preserve">" הוא בגדר "רשות הרבים" </w:t>
      </w:r>
      <w:r>
        <w:rPr>
          <w:rFonts w:ascii="Century" w:hAnsi="Century"/>
          <w:rtl/>
        </w:rPr>
        <w:t>–</w:t>
      </w:r>
      <w:r>
        <w:rPr>
          <w:rFonts w:ascii="Century" w:hAnsi="Century" w:hint="cs"/>
          <w:rtl/>
        </w:rPr>
        <w:t xml:space="preserve"> מקום שבו ניתן לבצע האזנות סתר ללא היתר לפי החוק; ודי בקיום הסמכה פנימית מאת </w:t>
      </w:r>
      <w:r>
        <w:rPr>
          <w:rFonts w:hint="cs"/>
          <w:rtl/>
        </w:rPr>
        <w:t>"</w:t>
      </w:r>
      <w:r w:rsidRPr="006F4886">
        <w:rPr>
          <w:rFonts w:hint="eastAsia"/>
          <w:rtl/>
        </w:rPr>
        <w:t>קצין</w:t>
      </w:r>
      <w:r w:rsidRPr="006F4886">
        <w:rPr>
          <w:rtl/>
        </w:rPr>
        <w:t xml:space="preserve"> </w:t>
      </w:r>
      <w:r w:rsidRPr="006F4886">
        <w:rPr>
          <w:rFonts w:hint="eastAsia"/>
          <w:rtl/>
        </w:rPr>
        <w:t>משטרה</w:t>
      </w:r>
      <w:r w:rsidRPr="006F4886">
        <w:rPr>
          <w:rtl/>
        </w:rPr>
        <w:t xml:space="preserve"> </w:t>
      </w:r>
      <w:r w:rsidRPr="006F4886">
        <w:rPr>
          <w:rFonts w:hint="eastAsia"/>
          <w:rtl/>
        </w:rPr>
        <w:t>מוסמך</w:t>
      </w:r>
      <w:r>
        <w:rPr>
          <w:rFonts w:hint="cs"/>
          <w:rtl/>
        </w:rPr>
        <w:t>" אשר ניתנת "</w:t>
      </w:r>
      <w:r w:rsidRPr="006F4886">
        <w:rPr>
          <w:rFonts w:hint="eastAsia"/>
          <w:rtl/>
        </w:rPr>
        <w:t>לשם</w:t>
      </w:r>
      <w:r w:rsidRPr="006F4886">
        <w:rPr>
          <w:rtl/>
        </w:rPr>
        <w:t xml:space="preserve"> </w:t>
      </w:r>
      <w:r w:rsidRPr="006F4886">
        <w:rPr>
          <w:rFonts w:hint="eastAsia"/>
          <w:rtl/>
        </w:rPr>
        <w:t>מניעת</w:t>
      </w:r>
      <w:r w:rsidRPr="006F4886">
        <w:rPr>
          <w:rtl/>
        </w:rPr>
        <w:t xml:space="preserve"> </w:t>
      </w:r>
      <w:r w:rsidRPr="006F4886">
        <w:rPr>
          <w:rFonts w:hint="eastAsia"/>
          <w:rtl/>
        </w:rPr>
        <w:t>עבירות</w:t>
      </w:r>
      <w:r w:rsidRPr="006F4886">
        <w:rPr>
          <w:rtl/>
        </w:rPr>
        <w:t xml:space="preserve"> </w:t>
      </w:r>
      <w:r w:rsidRPr="006F4886">
        <w:rPr>
          <w:rFonts w:hint="eastAsia"/>
          <w:rtl/>
        </w:rPr>
        <w:t>או</w:t>
      </w:r>
      <w:r w:rsidRPr="006F4886">
        <w:rPr>
          <w:rtl/>
        </w:rPr>
        <w:t xml:space="preserve"> </w:t>
      </w:r>
      <w:r w:rsidRPr="006F4886">
        <w:rPr>
          <w:rFonts w:hint="eastAsia"/>
          <w:rtl/>
        </w:rPr>
        <w:t>גילוי</w:t>
      </w:r>
      <w:r w:rsidRPr="006F4886">
        <w:rPr>
          <w:rtl/>
        </w:rPr>
        <w:t xml:space="preserve"> </w:t>
      </w:r>
      <w:r>
        <w:rPr>
          <w:rFonts w:hint="eastAsia"/>
          <w:rtl/>
        </w:rPr>
        <w:t>עברייני</w:t>
      </w:r>
      <w:r>
        <w:rPr>
          <w:rFonts w:hint="cs"/>
          <w:rtl/>
        </w:rPr>
        <w:t>ם", כאמור בסעיף 8(1)(ב) לחוק (ראו: א</w:t>
      </w:r>
      <w:r w:rsidRPr="00526082">
        <w:rPr>
          <w:rFonts w:hint="eastAsia"/>
          <w:rtl/>
        </w:rPr>
        <w:t>לכס</w:t>
      </w:r>
      <w:r w:rsidRPr="00526082">
        <w:rPr>
          <w:rtl/>
        </w:rPr>
        <w:t xml:space="preserve"> </w:t>
      </w:r>
      <w:r w:rsidRPr="00526082">
        <w:rPr>
          <w:rFonts w:hint="eastAsia"/>
          <w:rtl/>
        </w:rPr>
        <w:t>שטיין</w:t>
      </w:r>
      <w:r w:rsidRPr="00526082">
        <w:rPr>
          <w:rtl/>
        </w:rPr>
        <w:t xml:space="preserve"> "</w:t>
      </w:r>
      <w:r w:rsidRPr="00526082">
        <w:rPr>
          <w:rFonts w:hint="eastAsia"/>
          <w:rtl/>
        </w:rPr>
        <w:t>האזנת</w:t>
      </w:r>
      <w:r>
        <w:rPr>
          <w:rFonts w:hint="cs"/>
          <w:rtl/>
        </w:rPr>
        <w:t>-</w:t>
      </w:r>
      <w:r w:rsidRPr="00526082">
        <w:rPr>
          <w:rFonts w:hint="eastAsia"/>
          <w:rtl/>
        </w:rPr>
        <w:t>סתר</w:t>
      </w:r>
      <w:r w:rsidRPr="00526082">
        <w:rPr>
          <w:rtl/>
        </w:rPr>
        <w:t xml:space="preserve"> </w:t>
      </w:r>
      <w:r w:rsidRPr="00526082">
        <w:rPr>
          <w:rFonts w:hint="eastAsia"/>
          <w:rtl/>
        </w:rPr>
        <w:t>ומעקבים</w:t>
      </w:r>
      <w:r w:rsidRPr="00526082">
        <w:rPr>
          <w:rtl/>
        </w:rPr>
        <w:t xml:space="preserve"> </w:t>
      </w:r>
      <w:r w:rsidRPr="00526082">
        <w:rPr>
          <w:rFonts w:hint="eastAsia"/>
          <w:rtl/>
        </w:rPr>
        <w:t>אלקטרוניים</w:t>
      </w:r>
      <w:r w:rsidRPr="00526082">
        <w:rPr>
          <w:rtl/>
        </w:rPr>
        <w:t xml:space="preserve"> </w:t>
      </w:r>
      <w:r w:rsidRPr="00526082">
        <w:rPr>
          <w:rFonts w:hint="eastAsia"/>
          <w:rtl/>
        </w:rPr>
        <w:t>נסתרים</w:t>
      </w:r>
      <w:r w:rsidRPr="00526082">
        <w:rPr>
          <w:rtl/>
        </w:rPr>
        <w:t xml:space="preserve"> </w:t>
      </w:r>
      <w:r w:rsidRPr="00526082">
        <w:rPr>
          <w:rFonts w:hint="eastAsia"/>
          <w:rtl/>
        </w:rPr>
        <w:t>כאמצעים</w:t>
      </w:r>
      <w:r w:rsidRPr="00526082">
        <w:rPr>
          <w:rtl/>
        </w:rPr>
        <w:t xml:space="preserve"> </w:t>
      </w:r>
      <w:r w:rsidRPr="00526082">
        <w:rPr>
          <w:rFonts w:hint="eastAsia"/>
          <w:rtl/>
        </w:rPr>
        <w:t>לקידומה</w:t>
      </w:r>
      <w:r w:rsidRPr="00526082">
        <w:rPr>
          <w:rtl/>
        </w:rPr>
        <w:t xml:space="preserve"> </w:t>
      </w:r>
      <w:r w:rsidRPr="00526082">
        <w:rPr>
          <w:rFonts w:hint="eastAsia"/>
          <w:rtl/>
        </w:rPr>
        <w:t>של</w:t>
      </w:r>
      <w:r w:rsidRPr="00526082">
        <w:rPr>
          <w:rtl/>
        </w:rPr>
        <w:t xml:space="preserve"> </w:t>
      </w:r>
      <w:r w:rsidRPr="00526082">
        <w:rPr>
          <w:rFonts w:hint="eastAsia"/>
          <w:rtl/>
        </w:rPr>
        <w:t>חקירה</w:t>
      </w:r>
      <w:r w:rsidRPr="00526082">
        <w:rPr>
          <w:rtl/>
        </w:rPr>
        <w:t xml:space="preserve"> </w:t>
      </w:r>
      <w:r w:rsidRPr="00526082">
        <w:rPr>
          <w:rFonts w:hint="eastAsia"/>
          <w:rtl/>
        </w:rPr>
        <w:t>פלילית</w:t>
      </w:r>
      <w:r w:rsidRPr="00526082">
        <w:rPr>
          <w:rtl/>
        </w:rPr>
        <w:t xml:space="preserve"> </w:t>
      </w:r>
      <w:proofErr w:type="spellStart"/>
      <w:r w:rsidRPr="00526082">
        <w:rPr>
          <w:rFonts w:hint="eastAsia"/>
          <w:rtl/>
        </w:rPr>
        <w:t>ובטחונית</w:t>
      </w:r>
      <w:proofErr w:type="spellEnd"/>
      <w:r w:rsidRPr="00526082">
        <w:rPr>
          <w:rtl/>
        </w:rPr>
        <w:t>"</w:t>
      </w:r>
      <w:r>
        <w:rPr>
          <w:rFonts w:hint="cs"/>
          <w:rtl/>
        </w:rPr>
        <w:t xml:space="preserve"> </w:t>
      </w:r>
      <w:r w:rsidRPr="00526082">
        <w:rPr>
          <w:rFonts w:ascii="Century" w:hAnsi="Century" w:cs="Miriam" w:hint="cs"/>
          <w:b/>
          <w:spacing w:val="0"/>
          <w:szCs w:val="24"/>
          <w:rtl/>
        </w:rPr>
        <w:t>משפטים</w:t>
      </w:r>
      <w:r>
        <w:rPr>
          <w:rFonts w:hint="cs"/>
          <w:rtl/>
        </w:rPr>
        <w:t xml:space="preserve"> יד 527, 540-539 (תשמ"ה)).</w:t>
      </w:r>
    </w:p>
    <w:p w:rsidR="003C5F47" w:rsidRDefault="003C5F47" w:rsidP="003C5F47">
      <w:pPr>
        <w:pStyle w:val="af0"/>
        <w:rPr>
          <w:rtl/>
        </w:rPr>
      </w:pPr>
    </w:p>
    <w:p w:rsidR="003C5F47" w:rsidRDefault="003C5F47" w:rsidP="003C5F47">
      <w:pPr>
        <w:pStyle w:val="Ruller41"/>
        <w:numPr>
          <w:ilvl w:val="0"/>
          <w:numId w:val="19"/>
        </w:numPr>
      </w:pPr>
      <w:r>
        <w:rPr>
          <w:rFonts w:hint="cs"/>
          <w:rtl/>
        </w:rPr>
        <w:t>למען הסר ספק וכדי להבטיח את קיומו של איסור היציאה מן הארץ אשר הוטל על המשיב בהחלטה קמא, יפקיד המשיב בבית המשפט המחוזי נצרת כל דרכון וכל תעודת מעבר שברשותו, לרבות דרכון ותעודת מעבר שתוקפם פג.</w:t>
      </w:r>
    </w:p>
    <w:p w:rsidR="003C5F47" w:rsidRDefault="003C5F47" w:rsidP="003C5F47">
      <w:pPr>
        <w:pStyle w:val="af0"/>
        <w:rPr>
          <w:rtl/>
        </w:rPr>
      </w:pPr>
    </w:p>
    <w:p w:rsidR="003C5F47" w:rsidRPr="003B33F3" w:rsidRDefault="003C5F47" w:rsidP="003C5F47">
      <w:pPr>
        <w:pStyle w:val="Ruller41"/>
        <w:rPr>
          <w:rFonts w:ascii="Century" w:hAnsi="Century" w:cs="Miriam"/>
          <w:b/>
          <w:spacing w:val="0"/>
          <w:szCs w:val="24"/>
        </w:rPr>
      </w:pPr>
      <w:r w:rsidRPr="003B33F3">
        <w:rPr>
          <w:rFonts w:ascii="Century" w:hAnsi="Century" w:cs="Miriam" w:hint="cs"/>
          <w:b/>
          <w:spacing w:val="0"/>
          <w:szCs w:val="24"/>
          <w:rtl/>
        </w:rPr>
        <w:t>סוף דבר</w:t>
      </w:r>
    </w:p>
    <w:p w:rsidR="003C5F47" w:rsidRPr="00681388" w:rsidRDefault="003C5F47" w:rsidP="003C5F47">
      <w:pPr>
        <w:pStyle w:val="Ruller41"/>
      </w:pPr>
      <w:r w:rsidRPr="00681388">
        <w:t xml:space="preserve"> </w:t>
      </w:r>
    </w:p>
    <w:p w:rsidR="003C5F47" w:rsidRPr="007C597C" w:rsidRDefault="003C5F47" w:rsidP="003C5F47">
      <w:pPr>
        <w:pStyle w:val="Ruller4"/>
        <w:rPr>
          <w:rFonts w:ascii="Century" w:hAnsi="Century"/>
          <w:sz w:val="22"/>
          <w:rtl/>
        </w:rPr>
      </w:pPr>
      <w:r>
        <w:rPr>
          <w:rFonts w:ascii="Century" w:hAnsi="Century" w:hint="cs"/>
          <w:sz w:val="22"/>
          <w:rtl/>
        </w:rPr>
        <w:t>בכפוף לאמור בפסקה 51 לעיל, ערר המדינה נדחה אפוא בזאת.</w:t>
      </w:r>
    </w:p>
    <w:p w:rsidR="000B1478" w:rsidRDefault="000B1478" w:rsidP="00A51FAE">
      <w:pPr>
        <w:pStyle w:val="Ruller41"/>
        <w:rPr>
          <w:rtl/>
        </w:rPr>
      </w:pPr>
    </w:p>
    <w:p w:rsidR="00FA1545" w:rsidRDefault="00FA1545" w:rsidP="00FA1545">
      <w:pPr>
        <w:pStyle w:val="Ruller41"/>
        <w:rPr>
          <w:rtl/>
        </w:rPr>
      </w:pPr>
      <w:r>
        <w:rPr>
          <w:rtl/>
        </w:rPr>
        <w:tab/>
        <w:t xml:space="preserve">ניתנה היום, </w:t>
      </w:r>
      <w:r>
        <w:rPr>
          <w:rFonts w:hint="eastAsia"/>
          <w:rtl/>
        </w:rPr>
        <w:t>‏י</w:t>
      </w:r>
      <w:r>
        <w:rPr>
          <w:rtl/>
        </w:rPr>
        <w:t>"</w:t>
      </w:r>
      <w:r>
        <w:rPr>
          <w:rFonts w:hint="cs"/>
          <w:rtl/>
        </w:rPr>
        <w:t>ח</w:t>
      </w:r>
      <w:r>
        <w:rPr>
          <w:rtl/>
        </w:rPr>
        <w:t xml:space="preserve"> באלול </w:t>
      </w:r>
      <w:proofErr w:type="spellStart"/>
      <w:r>
        <w:rPr>
          <w:rtl/>
        </w:rPr>
        <w:t>התשפ"א</w:t>
      </w:r>
      <w:proofErr w:type="spellEnd"/>
      <w:r>
        <w:rPr>
          <w:rtl/>
        </w:rPr>
        <w:t xml:space="preserve"> (</w:t>
      </w:r>
      <w:r>
        <w:rPr>
          <w:rFonts w:hint="eastAsia"/>
          <w:rtl/>
        </w:rPr>
        <w:t>‏</w:t>
      </w:r>
      <w:r>
        <w:rPr>
          <w:rtl/>
        </w:rPr>
        <w:t>2</w:t>
      </w:r>
      <w:r>
        <w:rPr>
          <w:rFonts w:hint="cs"/>
          <w:rtl/>
        </w:rPr>
        <w:t>6</w:t>
      </w:r>
      <w:r>
        <w:rPr>
          <w:rtl/>
        </w:rPr>
        <w:t>.8.2021).</w:t>
      </w:r>
    </w:p>
    <w:p w:rsidR="00016EF1" w:rsidRDefault="00016EF1" w:rsidP="00A51FAE">
      <w:pPr>
        <w:pStyle w:val="Ruller41"/>
        <w:rPr>
          <w:rtl/>
        </w:rPr>
      </w:pPr>
    </w:p>
    <w:tbl>
      <w:tblPr>
        <w:bidiVisual/>
        <w:tblW w:w="8363" w:type="dxa"/>
        <w:tblLook w:val="01E0" w:firstRow="1" w:lastRow="1" w:firstColumn="1" w:lastColumn="1" w:noHBand="0" w:noVBand="0"/>
      </w:tblPr>
      <w:tblGrid>
        <w:gridCol w:w="2786"/>
        <w:gridCol w:w="2787"/>
        <w:gridCol w:w="2790"/>
      </w:tblGrid>
      <w:tr w:rsidR="001A0164" w:rsidTr="00D00B1D">
        <w:tc>
          <w:tcPr>
            <w:tcW w:w="2842" w:type="dxa"/>
            <w:shd w:val="clear" w:color="auto" w:fill="auto"/>
          </w:tcPr>
          <w:p w:rsidR="00016EF1" w:rsidRDefault="00016EF1" w:rsidP="00A51FAE">
            <w:pPr>
              <w:pStyle w:val="Ruller41"/>
              <w:rPr>
                <w:rtl/>
              </w:rPr>
            </w:pPr>
          </w:p>
        </w:tc>
        <w:tc>
          <w:tcPr>
            <w:tcW w:w="2843" w:type="dxa"/>
            <w:shd w:val="clear" w:color="auto" w:fill="auto"/>
          </w:tcPr>
          <w:p w:rsidR="001A0164" w:rsidRDefault="001A0164" w:rsidP="00BA0B08">
            <w:pPr>
              <w:pStyle w:val="Ruller41"/>
              <w:jc w:val="center"/>
              <w:rPr>
                <w:rtl/>
              </w:rPr>
            </w:pPr>
          </w:p>
        </w:tc>
        <w:tc>
          <w:tcPr>
            <w:tcW w:w="2843" w:type="dxa"/>
            <w:shd w:val="clear" w:color="auto" w:fill="auto"/>
          </w:tcPr>
          <w:p w:rsidR="001A0164" w:rsidRDefault="00FE4C74" w:rsidP="00FA1545">
            <w:pPr>
              <w:pStyle w:val="Ruller41"/>
              <w:jc w:val="right"/>
              <w:rPr>
                <w:rtl/>
              </w:rPr>
            </w:pPr>
            <w:r>
              <w:rPr>
                <w:rtl/>
              </w:rPr>
              <w:t>ש ו פ ט</w:t>
            </w:r>
          </w:p>
        </w:tc>
      </w:tr>
    </w:tbl>
    <w:p w:rsidR="00044953" w:rsidRDefault="00044953" w:rsidP="00A51FAE">
      <w:pPr>
        <w:pStyle w:val="Ruller41"/>
        <w:rPr>
          <w:rtl/>
        </w:rPr>
      </w:pPr>
    </w:p>
    <w:p w:rsidR="00916FF8" w:rsidRDefault="00916FF8">
      <w:pPr>
        <w:rPr>
          <w:szCs w:val="16"/>
          <w:rtl/>
        </w:rPr>
      </w:pPr>
      <w:r>
        <w:rPr>
          <w:szCs w:val="16"/>
          <w:rtl/>
        </w:rPr>
        <w:t>_________________</w:t>
      </w:r>
      <w:r w:rsidR="00A12E0F">
        <w:rPr>
          <w:rFonts w:hint="cs"/>
          <w:szCs w:val="16"/>
          <w:rtl/>
        </w:rPr>
        <w:t>________</w:t>
      </w:r>
    </w:p>
    <w:p w:rsidR="00916FF8" w:rsidRDefault="00591983" w:rsidP="00B009CC">
      <w:pPr>
        <w:pStyle w:val="Ruller38"/>
        <w:rPr>
          <w:rtl/>
        </w:rPr>
      </w:pPr>
      <w:r>
        <w:rPr>
          <w:sz w:val="16"/>
        </w:rPr>
        <w:t xml:space="preserve"> </w:t>
      </w:r>
      <w:r w:rsidR="00A12E0F">
        <w:rPr>
          <w:sz w:val="16"/>
        </w:rPr>
        <w:t xml:space="preserve">  </w:t>
      </w:r>
      <w:r w:rsidR="00FE4C74">
        <w:rPr>
          <w:sz w:val="16"/>
        </w:rPr>
        <w:t xml:space="preserve">21057430_F03.docx   </w:t>
      </w:r>
      <w:r w:rsidR="00FE4C74">
        <w:rPr>
          <w:sz w:val="16"/>
          <w:rtl/>
        </w:rPr>
        <w:t>נר</w:t>
      </w:r>
    </w:p>
    <w:p w:rsidR="00591983" w:rsidRPr="00FC0252" w:rsidRDefault="00591983" w:rsidP="00FC0252">
      <w:pPr>
        <w:pStyle w:val="Ruller38"/>
        <w:rPr>
          <w:rtl/>
        </w:rPr>
      </w:pPr>
      <w:r>
        <w:rPr>
          <w:rtl/>
        </w:rPr>
        <w:t>מרכז מידע, טל'</w:t>
      </w:r>
      <w:r>
        <w:rPr>
          <w:rFonts w:hint="cs"/>
          <w:rtl/>
        </w:rPr>
        <w:t xml:space="preserve"> </w:t>
      </w:r>
      <w:r w:rsidR="00B63343">
        <w:rPr>
          <w:rFonts w:hint="cs"/>
          <w:rtl/>
        </w:rPr>
        <w:t>077</w:t>
      </w:r>
      <w:r>
        <w:rPr>
          <w:rFonts w:hint="cs"/>
          <w:rtl/>
        </w:rPr>
        <w:t>-</w:t>
      </w:r>
      <w:r w:rsidR="00B63343">
        <w:rPr>
          <w:rFonts w:hint="cs"/>
          <w:rtl/>
        </w:rPr>
        <w:t>270</w:t>
      </w:r>
      <w:r w:rsidR="00E21CA9">
        <w:rPr>
          <w:rFonts w:hint="cs"/>
          <w:rtl/>
        </w:rPr>
        <w:t>3</w:t>
      </w:r>
      <w:r w:rsidR="009B38DA">
        <w:rPr>
          <w:rFonts w:hint="cs"/>
          <w:rtl/>
        </w:rPr>
        <w:t>333</w:t>
      </w:r>
      <w:r w:rsidR="00866D0F">
        <w:rPr>
          <w:rFonts w:hint="cs"/>
          <w:rtl/>
        </w:rPr>
        <w:t>, 3852*</w:t>
      </w:r>
      <w:r>
        <w:rPr>
          <w:rFonts w:hint="cs"/>
          <w:rtl/>
        </w:rPr>
        <w:t xml:space="preserve"> ; אתר אינטרנט,  </w:t>
      </w:r>
      <w:hyperlink r:id="rId8" w:history="1">
        <w:r w:rsidR="00FC0252" w:rsidRPr="00BB4C68">
          <w:rPr>
            <w:rStyle w:val="Hyperlink"/>
            <w:sz w:val="16"/>
          </w:rPr>
          <w:t>https://supreme.court.gov.il</w:t>
        </w:r>
      </w:hyperlink>
    </w:p>
    <w:p w:rsidR="003F1F97" w:rsidRDefault="003F1F97" w:rsidP="00591983">
      <w:pPr>
        <w:pStyle w:val="Ruller38"/>
        <w:rPr>
          <w:rtl/>
        </w:rPr>
      </w:pPr>
    </w:p>
    <w:sectPr w:rsidR="003F1F97" w:rsidSect="00591983">
      <w:headerReference w:type="even" r:id="rId9"/>
      <w:headerReference w:type="default" r:id="rId10"/>
      <w:footerReference w:type="even" r:id="rId11"/>
      <w:footerReference w:type="default" r:id="rId12"/>
      <w:headerReference w:type="first" r:id="rId13"/>
      <w:footerReference w:type="first" r:id="rId14"/>
      <w:endnotePr>
        <w:numFmt w:val="lowerLetter"/>
      </w:endnotePr>
      <w:pgSz w:w="11906" w:h="16838" w:code="9"/>
      <w:pgMar w:top="1134" w:right="1797" w:bottom="1440" w:left="1797" w:header="567" w:footer="397" w:gutter="0"/>
      <w:cols w:space="720"/>
      <w:titlePg/>
      <w:bidi/>
      <w:rtlGutter/>
    </w:sectPr>
  </w:body>
</w:document>
</file>

<file path=word/customizations.xml><?xml version="1.0" encoding="utf-8"?>
<wne:tcg xmlns:r="http://schemas.openxmlformats.org/officeDocument/2006/relationships" xmlns:wne="http://schemas.microsoft.com/office/word/2006/wordml">
  <wne:keymaps>
    <wne:keymap wne:kcmPrimary="0433">
      <wne:acd wne:acdName="acd0"/>
    </wne:keymap>
    <wne:keymap wne:kcmPrimary="0434">
      <wne:acd wne:acdName="acd1"/>
    </wne:keymap>
    <wne:keymap wne:kcmPrimary="0435">
      <wne:acd wne:acdName="acd2"/>
    </wne:keymap>
  </wne:keymaps>
  <wne:toolbars>
    <wne:acdManifest>
      <wne:acdEntry wne:acdName="acd0"/>
      <wne:acdEntry wne:acdName="acd1"/>
      <wne:acdEntry wne:acdName="acd2"/>
    </wne:acdManifest>
    <wne:toolbarData r:id="rId1"/>
  </wne:toolbars>
  <wne:acds>
    <wne:acd wne:argValue="AgBSAHUAbABsAGUAcgAgADMA" wne:acdName="acd0" wne:fciIndexBasedOn="0065"/>
    <wne:acd wne:argValue="AgBSAHUAbABsAGUAcgA0AA==" wne:acdName="acd1" wne:fciIndexBasedOn="0065"/>
    <wne:acd wne:argValue="AgBSAHUAbABsAGUAcgA1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512" w:rsidRDefault="007F7512">
      <w:r>
        <w:separator/>
      </w:r>
    </w:p>
  </w:endnote>
  <w:endnote w:type="continuationSeparator" w:id="0">
    <w:p w:rsidR="007F7512" w:rsidRDefault="007F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B1"/>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TUR">
    <w:charset w:val="00"/>
    <w:family w:val="swiss"/>
    <w:pitch w:val="variable"/>
    <w:sig w:usb0="E0002EFF" w:usb1="C000785B" w:usb2="00000009" w:usb3="00000000" w:csb0="000001FF" w:csb1="00000000"/>
  </w:font>
  <w:font w:name="DavidFix">
    <w:charset w:val="B1"/>
    <w:family w:val="auto"/>
    <w:pitch w:val="variable"/>
    <w:sig w:usb0="00001801" w:usb1="0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Miriam">
    <w:panose1 w:val="020B050205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02" w:rsidRDefault="00377102">
    <w:pPr>
      <w:pStyle w:val="a3"/>
      <w:framePr w:wrap="around" w:vAnchor="text" w:hAnchor="margin" w:xAlign="center" w:y="1"/>
      <w:rPr>
        <w:rStyle w:val="a5"/>
        <w:rtl/>
      </w:rPr>
    </w:pPr>
    <w:r>
      <w:rPr>
        <w:rStyle w:val="a5"/>
        <w:rtl/>
      </w:rPr>
      <w:fldChar w:fldCharType="begin"/>
    </w:r>
    <w:r>
      <w:rPr>
        <w:rStyle w:val="a5"/>
      </w:rPr>
      <w:instrText xml:space="preserve">PAGE  </w:instrText>
    </w:r>
    <w:r>
      <w:rPr>
        <w:rStyle w:val="a5"/>
        <w:rtl/>
      </w:rPr>
      <w:fldChar w:fldCharType="separate"/>
    </w:r>
    <w:r w:rsidR="00BC0E82">
      <w:rPr>
        <w:rStyle w:val="a5"/>
        <w:noProof/>
        <w:rtl/>
      </w:rPr>
      <w:t>1</w:t>
    </w:r>
    <w:r>
      <w:rPr>
        <w:rStyle w:val="a5"/>
        <w:rtl/>
      </w:rPr>
      <w:fldChar w:fldCharType="end"/>
    </w:r>
  </w:p>
  <w:p w:rsidR="00377102" w:rsidRDefault="00377102">
    <w:pPr>
      <w:pStyle w:val="a3"/>
      <w:rPr>
        <w:rtl/>
      </w:rPr>
    </w:pPr>
  </w:p>
  <w:p w:rsidR="00377102" w:rsidRDefault="0037710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74" w:rsidRDefault="00FE4C74">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4D" w:rsidRPr="00F959DB" w:rsidRDefault="00045B4D" w:rsidP="00914156">
    <w:pPr>
      <w:pStyle w:val="a3"/>
      <w:bidi w:val="0"/>
      <w:jc w:val="right"/>
      <w:rPr>
        <w:sz w:val="16"/>
        <w:szCs w:val="16"/>
      </w:rPr>
    </w:pPr>
    <w:bookmarkStart w:id="6" w:name="footer_line"/>
    <w:bookmarkEnd w:id="6"/>
  </w:p>
  <w:p w:rsidR="00045B4D" w:rsidRDefault="00045B4D">
    <w:pPr>
      <w:pStyle w:val="a3"/>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512" w:rsidRDefault="007F7512">
      <w:r>
        <w:separator/>
      </w:r>
    </w:p>
  </w:footnote>
  <w:footnote w:type="continuationSeparator" w:id="0">
    <w:p w:rsidR="007F7512" w:rsidRDefault="007F7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02" w:rsidRDefault="00377102">
    <w:pPr>
      <w:pStyle w:val="a6"/>
      <w:framePr w:wrap="around" w:vAnchor="text" w:hAnchor="margin" w:xAlign="center" w:y="1"/>
      <w:rPr>
        <w:rStyle w:val="a5"/>
        <w:rtl/>
      </w:rPr>
    </w:pPr>
    <w:r>
      <w:rPr>
        <w:rStyle w:val="a5"/>
        <w:rtl/>
      </w:rPr>
      <w:fldChar w:fldCharType="begin"/>
    </w:r>
    <w:r>
      <w:rPr>
        <w:rStyle w:val="a5"/>
      </w:rPr>
      <w:instrText xml:space="preserve">PAGE  </w:instrText>
    </w:r>
    <w:r>
      <w:rPr>
        <w:rStyle w:val="a5"/>
        <w:rtl/>
      </w:rPr>
      <w:fldChar w:fldCharType="separate"/>
    </w:r>
    <w:r w:rsidR="00BC0E82">
      <w:rPr>
        <w:rStyle w:val="a5"/>
        <w:noProof/>
        <w:rtl/>
      </w:rPr>
      <w:t>1</w:t>
    </w:r>
    <w:r>
      <w:rPr>
        <w:rStyle w:val="a5"/>
        <w:rtl/>
      </w:rPr>
      <w:fldChar w:fldCharType="end"/>
    </w:r>
  </w:p>
  <w:p w:rsidR="00377102" w:rsidRDefault="00377102">
    <w:pPr>
      <w:pStyle w:val="a6"/>
      <w:rPr>
        <w:rtl/>
      </w:rPr>
    </w:pPr>
  </w:p>
  <w:p w:rsidR="00377102" w:rsidRDefault="0037710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02" w:rsidRDefault="00377102">
    <w:pPr>
      <w:pStyle w:val="a6"/>
      <w:framePr w:wrap="around" w:vAnchor="text" w:hAnchor="margin" w:xAlign="center" w:y="1"/>
      <w:rPr>
        <w:rStyle w:val="a5"/>
        <w:rtl/>
      </w:rPr>
    </w:pPr>
    <w:r>
      <w:rPr>
        <w:rStyle w:val="a5"/>
        <w:rtl/>
      </w:rPr>
      <w:fldChar w:fldCharType="begin"/>
    </w:r>
    <w:r>
      <w:rPr>
        <w:rStyle w:val="a5"/>
      </w:rPr>
      <w:instrText xml:space="preserve">PAGE  </w:instrText>
    </w:r>
    <w:r>
      <w:rPr>
        <w:rStyle w:val="a5"/>
        <w:rtl/>
      </w:rPr>
      <w:fldChar w:fldCharType="separate"/>
    </w:r>
    <w:r w:rsidR="00A838AC">
      <w:rPr>
        <w:rStyle w:val="a5"/>
        <w:noProof/>
        <w:rtl/>
      </w:rPr>
      <w:t>18</w:t>
    </w:r>
    <w:r>
      <w:rPr>
        <w:rStyle w:val="a5"/>
        <w:rtl/>
      </w:rPr>
      <w:fldChar w:fldCharType="end"/>
    </w:r>
  </w:p>
  <w:p w:rsidR="00377102" w:rsidRDefault="00377102">
    <w:pPr>
      <w:pStyle w:val="a6"/>
      <w:rPr>
        <w:rtl/>
      </w:rPr>
    </w:pPr>
  </w:p>
  <w:p w:rsidR="00377102" w:rsidRDefault="0037710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8363" w:type="dxa"/>
      <w:tblLook w:val="0000" w:firstRow="0" w:lastRow="0" w:firstColumn="0" w:lastColumn="0" w:noHBand="0" w:noVBand="0"/>
    </w:tblPr>
    <w:tblGrid>
      <w:gridCol w:w="8363"/>
    </w:tblGrid>
    <w:tr w:rsidR="00045B4D" w:rsidTr="00EC23AC">
      <w:trPr>
        <w:trHeight w:val="342"/>
      </w:trPr>
      <w:tc>
        <w:tcPr>
          <w:tcW w:w="9828" w:type="dxa"/>
        </w:tcPr>
        <w:p w:rsidR="00377102" w:rsidRPr="002F7BB6" w:rsidRDefault="00EE3810" w:rsidP="00045B4D">
          <w:pPr>
            <w:pStyle w:val="Casenameintextbody"/>
            <w:jc w:val="center"/>
            <w:rPr>
              <w:u w:val="none"/>
              <w:rtl/>
            </w:rPr>
          </w:pPr>
          <w:r w:rsidRPr="002F7BB6">
            <w:rPr>
              <w:noProof/>
              <w:sz w:val="16"/>
              <w:szCs w:val="18"/>
              <w:u w:val="none"/>
              <w:rtl/>
            </w:rPr>
            <w:drawing>
              <wp:inline distT="0" distB="0" distL="0" distR="0">
                <wp:extent cx="464820" cy="4495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r>
  </w:tbl>
  <w:p w:rsidR="00045B4D" w:rsidRDefault="00045B4D" w:rsidP="00045B4D">
    <w:pPr>
      <w:pStyle w:val="a6"/>
      <w:jc w:val="cent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77A4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B8E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485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3003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0465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CCE6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264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1A09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046C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800B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6001B"/>
    <w:multiLevelType w:val="hybridMultilevel"/>
    <w:tmpl w:val="70A2910E"/>
    <w:lvl w:ilvl="0" w:tplc="E3B06D3E">
      <w:start w:val="1"/>
      <w:numFmt w:val="decimal"/>
      <w:pStyle w:val="Ruller4"/>
      <w:lvlText w:val="%1."/>
      <w:lvlJc w:val="left"/>
      <w:pPr>
        <w:tabs>
          <w:tab w:val="num" w:pos="907"/>
        </w:tabs>
        <w:ind w:left="0" w:firstLine="0"/>
      </w:pPr>
      <w:rPr>
        <w:rFonts w:hint="default"/>
        <w:lang w:val="en-US"/>
      </w:rPr>
    </w:lvl>
    <w:lvl w:ilvl="1" w:tplc="605055A6" w:tentative="1">
      <w:start w:val="1"/>
      <w:numFmt w:val="lowerLetter"/>
      <w:lvlText w:val="%2."/>
      <w:lvlJc w:val="left"/>
      <w:pPr>
        <w:tabs>
          <w:tab w:val="num" w:pos="1440"/>
        </w:tabs>
        <w:ind w:left="1440" w:hanging="360"/>
      </w:pPr>
    </w:lvl>
    <w:lvl w:ilvl="2" w:tplc="227E88C4" w:tentative="1">
      <w:start w:val="1"/>
      <w:numFmt w:val="lowerRoman"/>
      <w:lvlText w:val="%3."/>
      <w:lvlJc w:val="right"/>
      <w:pPr>
        <w:tabs>
          <w:tab w:val="num" w:pos="2160"/>
        </w:tabs>
        <w:ind w:left="2160" w:hanging="180"/>
      </w:pPr>
    </w:lvl>
    <w:lvl w:ilvl="3" w:tplc="5BF2D152" w:tentative="1">
      <w:start w:val="1"/>
      <w:numFmt w:val="decimal"/>
      <w:lvlText w:val="%4."/>
      <w:lvlJc w:val="left"/>
      <w:pPr>
        <w:tabs>
          <w:tab w:val="num" w:pos="2880"/>
        </w:tabs>
        <w:ind w:left="2880" w:hanging="360"/>
      </w:pPr>
    </w:lvl>
    <w:lvl w:ilvl="4" w:tplc="BBD44074" w:tentative="1">
      <w:start w:val="1"/>
      <w:numFmt w:val="lowerLetter"/>
      <w:lvlText w:val="%5."/>
      <w:lvlJc w:val="left"/>
      <w:pPr>
        <w:tabs>
          <w:tab w:val="num" w:pos="3600"/>
        </w:tabs>
        <w:ind w:left="3600" w:hanging="360"/>
      </w:pPr>
    </w:lvl>
    <w:lvl w:ilvl="5" w:tplc="0F046B52" w:tentative="1">
      <w:start w:val="1"/>
      <w:numFmt w:val="lowerRoman"/>
      <w:lvlText w:val="%6."/>
      <w:lvlJc w:val="right"/>
      <w:pPr>
        <w:tabs>
          <w:tab w:val="num" w:pos="4320"/>
        </w:tabs>
        <w:ind w:left="4320" w:hanging="180"/>
      </w:pPr>
    </w:lvl>
    <w:lvl w:ilvl="6" w:tplc="AB08FD7C" w:tentative="1">
      <w:start w:val="1"/>
      <w:numFmt w:val="decimal"/>
      <w:lvlText w:val="%7."/>
      <w:lvlJc w:val="left"/>
      <w:pPr>
        <w:tabs>
          <w:tab w:val="num" w:pos="5040"/>
        </w:tabs>
        <w:ind w:left="5040" w:hanging="360"/>
      </w:pPr>
    </w:lvl>
    <w:lvl w:ilvl="7" w:tplc="2110E554" w:tentative="1">
      <w:start w:val="1"/>
      <w:numFmt w:val="lowerLetter"/>
      <w:lvlText w:val="%8."/>
      <w:lvlJc w:val="left"/>
      <w:pPr>
        <w:tabs>
          <w:tab w:val="num" w:pos="5760"/>
        </w:tabs>
        <w:ind w:left="5760" w:hanging="360"/>
      </w:pPr>
    </w:lvl>
    <w:lvl w:ilvl="8" w:tplc="7404529E" w:tentative="1">
      <w:start w:val="1"/>
      <w:numFmt w:val="lowerRoman"/>
      <w:lvlText w:val="%9."/>
      <w:lvlJc w:val="right"/>
      <w:pPr>
        <w:tabs>
          <w:tab w:val="num" w:pos="6480"/>
        </w:tabs>
        <w:ind w:left="6480" w:hanging="180"/>
      </w:pPr>
    </w:lvl>
  </w:abstractNum>
  <w:abstractNum w:abstractNumId="11" w15:restartNumberingAfterBreak="0">
    <w:nsid w:val="08C64331"/>
    <w:multiLevelType w:val="hybridMultilevel"/>
    <w:tmpl w:val="DD7439C6"/>
    <w:lvl w:ilvl="0" w:tplc="45A67A38">
      <w:start w:val="1"/>
      <w:numFmt w:val="hebrew1"/>
      <w:lvlText w:val="%1."/>
      <w:lvlJc w:val="center"/>
      <w:pPr>
        <w:ind w:left="720" w:hanging="360"/>
      </w:pPr>
    </w:lvl>
    <w:lvl w:ilvl="1" w:tplc="57E08A6E" w:tentative="1">
      <w:start w:val="1"/>
      <w:numFmt w:val="lowerLetter"/>
      <w:lvlText w:val="%2."/>
      <w:lvlJc w:val="left"/>
      <w:pPr>
        <w:ind w:left="1440" w:hanging="360"/>
      </w:pPr>
    </w:lvl>
    <w:lvl w:ilvl="2" w:tplc="FE70BB46" w:tentative="1">
      <w:start w:val="1"/>
      <w:numFmt w:val="lowerRoman"/>
      <w:lvlText w:val="%3."/>
      <w:lvlJc w:val="right"/>
      <w:pPr>
        <w:ind w:left="2160" w:hanging="180"/>
      </w:pPr>
    </w:lvl>
    <w:lvl w:ilvl="3" w:tplc="E77C023A" w:tentative="1">
      <w:start w:val="1"/>
      <w:numFmt w:val="decimal"/>
      <w:lvlText w:val="%4."/>
      <w:lvlJc w:val="left"/>
      <w:pPr>
        <w:ind w:left="2880" w:hanging="360"/>
      </w:pPr>
    </w:lvl>
    <w:lvl w:ilvl="4" w:tplc="DBFC08FE" w:tentative="1">
      <w:start w:val="1"/>
      <w:numFmt w:val="lowerLetter"/>
      <w:lvlText w:val="%5."/>
      <w:lvlJc w:val="left"/>
      <w:pPr>
        <w:ind w:left="3600" w:hanging="360"/>
      </w:pPr>
    </w:lvl>
    <w:lvl w:ilvl="5" w:tplc="4F96A776" w:tentative="1">
      <w:start w:val="1"/>
      <w:numFmt w:val="lowerRoman"/>
      <w:lvlText w:val="%6."/>
      <w:lvlJc w:val="right"/>
      <w:pPr>
        <w:ind w:left="4320" w:hanging="180"/>
      </w:pPr>
    </w:lvl>
    <w:lvl w:ilvl="6" w:tplc="F9D4ED8C" w:tentative="1">
      <w:start w:val="1"/>
      <w:numFmt w:val="decimal"/>
      <w:lvlText w:val="%7."/>
      <w:lvlJc w:val="left"/>
      <w:pPr>
        <w:ind w:left="5040" w:hanging="360"/>
      </w:pPr>
    </w:lvl>
    <w:lvl w:ilvl="7" w:tplc="D466F7AA" w:tentative="1">
      <w:start w:val="1"/>
      <w:numFmt w:val="lowerLetter"/>
      <w:lvlText w:val="%8."/>
      <w:lvlJc w:val="left"/>
      <w:pPr>
        <w:ind w:left="5760" w:hanging="360"/>
      </w:pPr>
    </w:lvl>
    <w:lvl w:ilvl="8" w:tplc="D2D24590" w:tentative="1">
      <w:start w:val="1"/>
      <w:numFmt w:val="lowerRoman"/>
      <w:lvlText w:val="%9."/>
      <w:lvlJc w:val="right"/>
      <w:pPr>
        <w:ind w:left="6480" w:hanging="180"/>
      </w:pPr>
    </w:lvl>
  </w:abstractNum>
  <w:abstractNum w:abstractNumId="12" w15:restartNumberingAfterBreak="0">
    <w:nsid w:val="42614014"/>
    <w:multiLevelType w:val="multilevel"/>
    <w:tmpl w:val="F6BAE8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FE70B62"/>
    <w:multiLevelType w:val="hybridMultilevel"/>
    <w:tmpl w:val="ADA8711E"/>
    <w:lvl w:ilvl="0" w:tplc="CA5A6F9E">
      <w:start w:val="1"/>
      <w:numFmt w:val="hebrew1"/>
      <w:pStyle w:val="Ruller40"/>
      <w:lvlText w:val="%1."/>
      <w:lvlJc w:val="left"/>
      <w:pPr>
        <w:tabs>
          <w:tab w:val="num" w:pos="907"/>
        </w:tabs>
        <w:ind w:left="0" w:firstLine="0"/>
      </w:pPr>
      <w:rPr>
        <w:rFonts w:hint="default"/>
      </w:rPr>
    </w:lvl>
    <w:lvl w:ilvl="1" w:tplc="957AEE7C" w:tentative="1">
      <w:start w:val="1"/>
      <w:numFmt w:val="lowerLetter"/>
      <w:lvlText w:val="%2."/>
      <w:lvlJc w:val="left"/>
      <w:pPr>
        <w:tabs>
          <w:tab w:val="num" w:pos="1440"/>
        </w:tabs>
        <w:ind w:left="1440" w:hanging="360"/>
      </w:pPr>
    </w:lvl>
    <w:lvl w:ilvl="2" w:tplc="CA04A1A8" w:tentative="1">
      <w:start w:val="1"/>
      <w:numFmt w:val="lowerRoman"/>
      <w:lvlText w:val="%3."/>
      <w:lvlJc w:val="right"/>
      <w:pPr>
        <w:tabs>
          <w:tab w:val="num" w:pos="2160"/>
        </w:tabs>
        <w:ind w:left="2160" w:hanging="180"/>
      </w:pPr>
    </w:lvl>
    <w:lvl w:ilvl="3" w:tplc="2D34AC40" w:tentative="1">
      <w:start w:val="1"/>
      <w:numFmt w:val="decimal"/>
      <w:lvlText w:val="%4."/>
      <w:lvlJc w:val="left"/>
      <w:pPr>
        <w:tabs>
          <w:tab w:val="num" w:pos="2880"/>
        </w:tabs>
        <w:ind w:left="2880" w:hanging="360"/>
      </w:pPr>
    </w:lvl>
    <w:lvl w:ilvl="4" w:tplc="91BC6DBE" w:tentative="1">
      <w:start w:val="1"/>
      <w:numFmt w:val="lowerLetter"/>
      <w:lvlText w:val="%5."/>
      <w:lvlJc w:val="left"/>
      <w:pPr>
        <w:tabs>
          <w:tab w:val="num" w:pos="3600"/>
        </w:tabs>
        <w:ind w:left="3600" w:hanging="360"/>
      </w:pPr>
    </w:lvl>
    <w:lvl w:ilvl="5" w:tplc="964A0360" w:tentative="1">
      <w:start w:val="1"/>
      <w:numFmt w:val="lowerRoman"/>
      <w:lvlText w:val="%6."/>
      <w:lvlJc w:val="right"/>
      <w:pPr>
        <w:tabs>
          <w:tab w:val="num" w:pos="4320"/>
        </w:tabs>
        <w:ind w:left="4320" w:hanging="180"/>
      </w:pPr>
    </w:lvl>
    <w:lvl w:ilvl="6" w:tplc="CD98E680" w:tentative="1">
      <w:start w:val="1"/>
      <w:numFmt w:val="decimal"/>
      <w:lvlText w:val="%7."/>
      <w:lvlJc w:val="left"/>
      <w:pPr>
        <w:tabs>
          <w:tab w:val="num" w:pos="5040"/>
        </w:tabs>
        <w:ind w:left="5040" w:hanging="360"/>
      </w:pPr>
    </w:lvl>
    <w:lvl w:ilvl="7" w:tplc="4FE43D28" w:tentative="1">
      <w:start w:val="1"/>
      <w:numFmt w:val="lowerLetter"/>
      <w:lvlText w:val="%8."/>
      <w:lvlJc w:val="left"/>
      <w:pPr>
        <w:tabs>
          <w:tab w:val="num" w:pos="5760"/>
        </w:tabs>
        <w:ind w:left="5760" w:hanging="360"/>
      </w:pPr>
    </w:lvl>
    <w:lvl w:ilvl="8" w:tplc="769CD2A4" w:tentative="1">
      <w:start w:val="1"/>
      <w:numFmt w:val="lowerRoman"/>
      <w:lvlText w:val="%9."/>
      <w:lvlJc w:val="right"/>
      <w:pPr>
        <w:tabs>
          <w:tab w:val="num" w:pos="6480"/>
        </w:tabs>
        <w:ind w:left="6480" w:hanging="180"/>
      </w:pPr>
    </w:lvl>
  </w:abstractNum>
  <w:abstractNum w:abstractNumId="14" w15:restartNumberingAfterBreak="0">
    <w:nsid w:val="613575FC"/>
    <w:multiLevelType w:val="hybridMultilevel"/>
    <w:tmpl w:val="7C7E5430"/>
    <w:lvl w:ilvl="0" w:tplc="EF26067E">
      <w:start w:val="10"/>
      <w:numFmt w:val="bullet"/>
      <w:lvlText w:val=""/>
      <w:lvlJc w:val="left"/>
      <w:pPr>
        <w:ind w:left="720" w:hanging="360"/>
      </w:pPr>
      <w:rPr>
        <w:rFonts w:ascii="Symbol" w:eastAsia="Times New Roman" w:hAnsi="Symbol" w:cs="FrankRueh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0A212A"/>
    <w:multiLevelType w:val="hybridMultilevel"/>
    <w:tmpl w:val="DFF411E6"/>
    <w:lvl w:ilvl="0" w:tplc="92CAEBF0">
      <w:start w:val="1"/>
      <w:numFmt w:val="hebrew1"/>
      <w:lvlText w:val="%1."/>
      <w:lvlJc w:val="left"/>
      <w:pPr>
        <w:ind w:left="1080" w:hanging="360"/>
      </w:pPr>
      <w:rPr>
        <w:rFonts w:hint="default"/>
      </w:rPr>
    </w:lvl>
    <w:lvl w:ilvl="1" w:tplc="FD684400" w:tentative="1">
      <w:start w:val="1"/>
      <w:numFmt w:val="lowerLetter"/>
      <w:lvlText w:val="%2."/>
      <w:lvlJc w:val="left"/>
      <w:pPr>
        <w:ind w:left="1800" w:hanging="360"/>
      </w:pPr>
    </w:lvl>
    <w:lvl w:ilvl="2" w:tplc="29FC11E2" w:tentative="1">
      <w:start w:val="1"/>
      <w:numFmt w:val="lowerRoman"/>
      <w:lvlText w:val="%3."/>
      <w:lvlJc w:val="right"/>
      <w:pPr>
        <w:ind w:left="2520" w:hanging="180"/>
      </w:pPr>
    </w:lvl>
    <w:lvl w:ilvl="3" w:tplc="674C425C" w:tentative="1">
      <w:start w:val="1"/>
      <w:numFmt w:val="decimal"/>
      <w:lvlText w:val="%4."/>
      <w:lvlJc w:val="left"/>
      <w:pPr>
        <w:ind w:left="3240" w:hanging="360"/>
      </w:pPr>
    </w:lvl>
    <w:lvl w:ilvl="4" w:tplc="21A2B3FC" w:tentative="1">
      <w:start w:val="1"/>
      <w:numFmt w:val="lowerLetter"/>
      <w:lvlText w:val="%5."/>
      <w:lvlJc w:val="left"/>
      <w:pPr>
        <w:ind w:left="3960" w:hanging="360"/>
      </w:pPr>
    </w:lvl>
    <w:lvl w:ilvl="5" w:tplc="5100DBA4" w:tentative="1">
      <w:start w:val="1"/>
      <w:numFmt w:val="lowerRoman"/>
      <w:lvlText w:val="%6."/>
      <w:lvlJc w:val="right"/>
      <w:pPr>
        <w:ind w:left="4680" w:hanging="180"/>
      </w:pPr>
    </w:lvl>
    <w:lvl w:ilvl="6" w:tplc="B6F8BE86" w:tentative="1">
      <w:start w:val="1"/>
      <w:numFmt w:val="decimal"/>
      <w:lvlText w:val="%7."/>
      <w:lvlJc w:val="left"/>
      <w:pPr>
        <w:ind w:left="5400" w:hanging="360"/>
      </w:pPr>
    </w:lvl>
    <w:lvl w:ilvl="7" w:tplc="CDB63EA2" w:tentative="1">
      <w:start w:val="1"/>
      <w:numFmt w:val="lowerLetter"/>
      <w:lvlText w:val="%8."/>
      <w:lvlJc w:val="left"/>
      <w:pPr>
        <w:ind w:left="6120" w:hanging="360"/>
      </w:pPr>
    </w:lvl>
    <w:lvl w:ilvl="8" w:tplc="5EA445C6" w:tentative="1">
      <w:start w:val="1"/>
      <w:numFmt w:val="lowerRoman"/>
      <w:lvlText w:val="%9."/>
      <w:lvlJc w:val="right"/>
      <w:pPr>
        <w:ind w:left="6840" w:hanging="180"/>
      </w:pPr>
    </w:lvl>
  </w:abstractNum>
  <w:abstractNum w:abstractNumId="16" w15:restartNumberingAfterBreak="0">
    <w:nsid w:val="695816C0"/>
    <w:multiLevelType w:val="hybridMultilevel"/>
    <w:tmpl w:val="2DEADC60"/>
    <w:lvl w:ilvl="0" w:tplc="2D0EC36E">
      <w:start w:val="1"/>
      <w:numFmt w:val="hebrew1"/>
      <w:lvlText w:val="%1."/>
      <w:lvlJc w:val="left"/>
      <w:pPr>
        <w:ind w:left="720" w:hanging="360"/>
      </w:pPr>
      <w:rPr>
        <w:rFonts w:hint="default"/>
      </w:rPr>
    </w:lvl>
    <w:lvl w:ilvl="1" w:tplc="E77E4B36" w:tentative="1">
      <w:start w:val="1"/>
      <w:numFmt w:val="lowerLetter"/>
      <w:lvlText w:val="%2."/>
      <w:lvlJc w:val="left"/>
      <w:pPr>
        <w:ind w:left="1440" w:hanging="360"/>
      </w:pPr>
    </w:lvl>
    <w:lvl w:ilvl="2" w:tplc="B378ABD2" w:tentative="1">
      <w:start w:val="1"/>
      <w:numFmt w:val="lowerRoman"/>
      <w:lvlText w:val="%3."/>
      <w:lvlJc w:val="right"/>
      <w:pPr>
        <w:ind w:left="2160" w:hanging="180"/>
      </w:pPr>
    </w:lvl>
    <w:lvl w:ilvl="3" w:tplc="33E67AD6" w:tentative="1">
      <w:start w:val="1"/>
      <w:numFmt w:val="decimal"/>
      <w:lvlText w:val="%4."/>
      <w:lvlJc w:val="left"/>
      <w:pPr>
        <w:ind w:left="2880" w:hanging="360"/>
      </w:pPr>
    </w:lvl>
    <w:lvl w:ilvl="4" w:tplc="F9B2C832" w:tentative="1">
      <w:start w:val="1"/>
      <w:numFmt w:val="lowerLetter"/>
      <w:lvlText w:val="%5."/>
      <w:lvlJc w:val="left"/>
      <w:pPr>
        <w:ind w:left="3600" w:hanging="360"/>
      </w:pPr>
    </w:lvl>
    <w:lvl w:ilvl="5" w:tplc="D6C85AB4" w:tentative="1">
      <w:start w:val="1"/>
      <w:numFmt w:val="lowerRoman"/>
      <w:lvlText w:val="%6."/>
      <w:lvlJc w:val="right"/>
      <w:pPr>
        <w:ind w:left="4320" w:hanging="180"/>
      </w:pPr>
    </w:lvl>
    <w:lvl w:ilvl="6" w:tplc="0E10EF90" w:tentative="1">
      <w:start w:val="1"/>
      <w:numFmt w:val="decimal"/>
      <w:lvlText w:val="%7."/>
      <w:lvlJc w:val="left"/>
      <w:pPr>
        <w:ind w:left="5040" w:hanging="360"/>
      </w:pPr>
    </w:lvl>
    <w:lvl w:ilvl="7" w:tplc="0A8E68D8" w:tentative="1">
      <w:start w:val="1"/>
      <w:numFmt w:val="lowerLetter"/>
      <w:lvlText w:val="%8."/>
      <w:lvlJc w:val="left"/>
      <w:pPr>
        <w:ind w:left="5760" w:hanging="360"/>
      </w:pPr>
    </w:lvl>
    <w:lvl w:ilvl="8" w:tplc="87C03A5A" w:tentative="1">
      <w:start w:val="1"/>
      <w:numFmt w:val="lowerRoman"/>
      <w:lvlText w:val="%9."/>
      <w:lvlJc w:val="right"/>
      <w:pPr>
        <w:ind w:left="6480" w:hanging="180"/>
      </w:pPr>
    </w:lvl>
  </w:abstractNum>
  <w:abstractNum w:abstractNumId="17" w15:restartNumberingAfterBreak="0">
    <w:nsid w:val="7F0406F9"/>
    <w:multiLevelType w:val="hybridMultilevel"/>
    <w:tmpl w:val="9BE65748"/>
    <w:lvl w:ilvl="0" w:tplc="44363CF8">
      <w:start w:val="1"/>
      <w:numFmt w:val="hebrew1"/>
      <w:lvlText w:val="%1."/>
      <w:lvlJc w:val="center"/>
      <w:pPr>
        <w:ind w:left="720" w:hanging="360"/>
      </w:pPr>
    </w:lvl>
    <w:lvl w:ilvl="1" w:tplc="67B64350" w:tentative="1">
      <w:start w:val="1"/>
      <w:numFmt w:val="lowerLetter"/>
      <w:lvlText w:val="%2."/>
      <w:lvlJc w:val="left"/>
      <w:pPr>
        <w:ind w:left="1440" w:hanging="360"/>
      </w:pPr>
    </w:lvl>
    <w:lvl w:ilvl="2" w:tplc="CFE0780C" w:tentative="1">
      <w:start w:val="1"/>
      <w:numFmt w:val="lowerRoman"/>
      <w:lvlText w:val="%3."/>
      <w:lvlJc w:val="right"/>
      <w:pPr>
        <w:ind w:left="2160" w:hanging="180"/>
      </w:pPr>
    </w:lvl>
    <w:lvl w:ilvl="3" w:tplc="BF6C26FA" w:tentative="1">
      <w:start w:val="1"/>
      <w:numFmt w:val="decimal"/>
      <w:lvlText w:val="%4."/>
      <w:lvlJc w:val="left"/>
      <w:pPr>
        <w:ind w:left="2880" w:hanging="360"/>
      </w:pPr>
    </w:lvl>
    <w:lvl w:ilvl="4" w:tplc="91EE01A2" w:tentative="1">
      <w:start w:val="1"/>
      <w:numFmt w:val="lowerLetter"/>
      <w:lvlText w:val="%5."/>
      <w:lvlJc w:val="left"/>
      <w:pPr>
        <w:ind w:left="3600" w:hanging="360"/>
      </w:pPr>
    </w:lvl>
    <w:lvl w:ilvl="5" w:tplc="E8F45E5E" w:tentative="1">
      <w:start w:val="1"/>
      <w:numFmt w:val="lowerRoman"/>
      <w:lvlText w:val="%6."/>
      <w:lvlJc w:val="right"/>
      <w:pPr>
        <w:ind w:left="4320" w:hanging="180"/>
      </w:pPr>
    </w:lvl>
    <w:lvl w:ilvl="6" w:tplc="B81A5C70" w:tentative="1">
      <w:start w:val="1"/>
      <w:numFmt w:val="decimal"/>
      <w:lvlText w:val="%7."/>
      <w:lvlJc w:val="left"/>
      <w:pPr>
        <w:ind w:left="5040" w:hanging="360"/>
      </w:pPr>
    </w:lvl>
    <w:lvl w:ilvl="7" w:tplc="9B0CBFDC" w:tentative="1">
      <w:start w:val="1"/>
      <w:numFmt w:val="lowerLetter"/>
      <w:lvlText w:val="%8."/>
      <w:lvlJc w:val="left"/>
      <w:pPr>
        <w:ind w:left="5760" w:hanging="360"/>
      </w:pPr>
    </w:lvl>
    <w:lvl w:ilvl="8" w:tplc="D68C32C8"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3"/>
  </w:num>
  <w:num w:numId="13">
    <w:abstractNumId w:val="11"/>
  </w:num>
  <w:num w:numId="14">
    <w:abstractNumId w:val="17"/>
  </w:num>
  <w:num w:numId="15">
    <w:abstractNumId w:val="16"/>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5"/>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lowerLette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227"/>
    <w:rsid w:val="00016EF1"/>
    <w:rsid w:val="00032036"/>
    <w:rsid w:val="00036227"/>
    <w:rsid w:val="00044953"/>
    <w:rsid w:val="00045B4D"/>
    <w:rsid w:val="000725F5"/>
    <w:rsid w:val="00072AD2"/>
    <w:rsid w:val="000B1478"/>
    <w:rsid w:val="000C4690"/>
    <w:rsid w:val="000D25C4"/>
    <w:rsid w:val="00134A67"/>
    <w:rsid w:val="00135D52"/>
    <w:rsid w:val="001A0164"/>
    <w:rsid w:val="001E3FE7"/>
    <w:rsid w:val="00200D6B"/>
    <w:rsid w:val="002310F5"/>
    <w:rsid w:val="00265F6E"/>
    <w:rsid w:val="002876BF"/>
    <w:rsid w:val="002A4A7A"/>
    <w:rsid w:val="002A4BF3"/>
    <w:rsid w:val="002F7BB6"/>
    <w:rsid w:val="003448B2"/>
    <w:rsid w:val="00361DB2"/>
    <w:rsid w:val="0037622E"/>
    <w:rsid w:val="00377102"/>
    <w:rsid w:val="0039709B"/>
    <w:rsid w:val="003C5F47"/>
    <w:rsid w:val="003D72DA"/>
    <w:rsid w:val="003F1F97"/>
    <w:rsid w:val="0041048F"/>
    <w:rsid w:val="00437D59"/>
    <w:rsid w:val="004610A4"/>
    <w:rsid w:val="004B29FF"/>
    <w:rsid w:val="004C7868"/>
    <w:rsid w:val="00503A3E"/>
    <w:rsid w:val="00527F02"/>
    <w:rsid w:val="005803E2"/>
    <w:rsid w:val="0058440A"/>
    <w:rsid w:val="00591983"/>
    <w:rsid w:val="005B4C66"/>
    <w:rsid w:val="00624A42"/>
    <w:rsid w:val="0065522F"/>
    <w:rsid w:val="006A30F7"/>
    <w:rsid w:val="006C42AD"/>
    <w:rsid w:val="00725345"/>
    <w:rsid w:val="00741CC0"/>
    <w:rsid w:val="00751428"/>
    <w:rsid w:val="007A4410"/>
    <w:rsid w:val="007B512F"/>
    <w:rsid w:val="007F7512"/>
    <w:rsid w:val="00810894"/>
    <w:rsid w:val="008143AB"/>
    <w:rsid w:val="0083345F"/>
    <w:rsid w:val="00836667"/>
    <w:rsid w:val="00866D0F"/>
    <w:rsid w:val="008C2F11"/>
    <w:rsid w:val="008D78B9"/>
    <w:rsid w:val="008E3F85"/>
    <w:rsid w:val="009051E8"/>
    <w:rsid w:val="00914156"/>
    <w:rsid w:val="00916FF8"/>
    <w:rsid w:val="00922093"/>
    <w:rsid w:val="00930C85"/>
    <w:rsid w:val="009B38DA"/>
    <w:rsid w:val="009F2F53"/>
    <w:rsid w:val="009F4187"/>
    <w:rsid w:val="00A12E0F"/>
    <w:rsid w:val="00A51FAE"/>
    <w:rsid w:val="00A80845"/>
    <w:rsid w:val="00A838AC"/>
    <w:rsid w:val="00AB69F7"/>
    <w:rsid w:val="00AD097B"/>
    <w:rsid w:val="00AD64B9"/>
    <w:rsid w:val="00AE022B"/>
    <w:rsid w:val="00B009CC"/>
    <w:rsid w:val="00B0782A"/>
    <w:rsid w:val="00B62B8C"/>
    <w:rsid w:val="00B63343"/>
    <w:rsid w:val="00B87FF7"/>
    <w:rsid w:val="00BA0B08"/>
    <w:rsid w:val="00BC0E82"/>
    <w:rsid w:val="00BD40F9"/>
    <w:rsid w:val="00C41C86"/>
    <w:rsid w:val="00C63A6C"/>
    <w:rsid w:val="00C839BB"/>
    <w:rsid w:val="00CA13AF"/>
    <w:rsid w:val="00CA1444"/>
    <w:rsid w:val="00CB1590"/>
    <w:rsid w:val="00CB7600"/>
    <w:rsid w:val="00CC0E9D"/>
    <w:rsid w:val="00CC3639"/>
    <w:rsid w:val="00D00B1D"/>
    <w:rsid w:val="00D00CB7"/>
    <w:rsid w:val="00D25F16"/>
    <w:rsid w:val="00E21CA9"/>
    <w:rsid w:val="00E31063"/>
    <w:rsid w:val="00E36FE9"/>
    <w:rsid w:val="00E73E98"/>
    <w:rsid w:val="00E75223"/>
    <w:rsid w:val="00E90D72"/>
    <w:rsid w:val="00EA0BE1"/>
    <w:rsid w:val="00EC23AC"/>
    <w:rsid w:val="00EC2992"/>
    <w:rsid w:val="00ED46A4"/>
    <w:rsid w:val="00ED6FD9"/>
    <w:rsid w:val="00EE3810"/>
    <w:rsid w:val="00F63C3B"/>
    <w:rsid w:val="00F959DB"/>
    <w:rsid w:val="00FA1545"/>
    <w:rsid w:val="00FC0252"/>
    <w:rsid w:val="00FE4C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4ABD10-2B12-4DE9-9084-32A4DA46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bidi/>
      <w:adjustRightInd w:val="0"/>
      <w:textAlignment w:val="baseline"/>
    </w:pPr>
    <w:rPr>
      <w:rFonts w:cs="David"/>
      <w:szCs w:val="24"/>
    </w:rPr>
  </w:style>
  <w:style w:type="paragraph" w:styleId="5">
    <w:name w:val="heading 5"/>
    <w:basedOn w:val="a"/>
    <w:link w:val="50"/>
    <w:uiPriority w:val="9"/>
    <w:qFormat/>
    <w:rsid w:val="003C5F47"/>
    <w:pPr>
      <w:overflowPunct/>
      <w:autoSpaceDE/>
      <w:autoSpaceDN/>
      <w:bidi w:val="0"/>
      <w:adjustRightInd/>
      <w:spacing w:before="100" w:beforeAutospacing="1" w:after="100" w:afterAutospacing="1"/>
      <w:textAlignment w:val="auto"/>
      <w:outlineLvl w:val="4"/>
    </w:pPr>
    <w:rPr>
      <w:rFonts w:cs="Times New Roman"/>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ller3">
    <w:name w:val="Ruller 3"/>
    <w:basedOn w:val="a"/>
    <w:rsid w:val="00A51FAE"/>
    <w:pPr>
      <w:tabs>
        <w:tab w:val="left" w:pos="3210"/>
        <w:tab w:val="left" w:pos="6753"/>
      </w:tabs>
      <w:spacing w:line="360" w:lineRule="auto"/>
    </w:pPr>
    <w:rPr>
      <w:rFonts w:cs="FrankRuehl"/>
      <w:spacing w:val="10"/>
      <w:sz w:val="22"/>
      <w:szCs w:val="28"/>
    </w:rPr>
  </w:style>
  <w:style w:type="paragraph" w:customStyle="1" w:styleId="Pskdinhead">
    <w:name w:val="Pskdin head"/>
    <w:basedOn w:val="a"/>
    <w:pPr>
      <w:spacing w:line="360" w:lineRule="auto"/>
    </w:pPr>
    <w:rPr>
      <w:b/>
      <w:bCs/>
      <w:u w:val="single"/>
    </w:rPr>
  </w:style>
  <w:style w:type="paragraph" w:customStyle="1" w:styleId="FileNumber">
    <w:name w:val="File Number"/>
    <w:basedOn w:val="a"/>
    <w:pPr>
      <w:spacing w:line="360" w:lineRule="auto"/>
      <w:jc w:val="right"/>
    </w:pPr>
    <w:rPr>
      <w:bCs/>
    </w:rPr>
  </w:style>
  <w:style w:type="paragraph" w:customStyle="1" w:styleId="FirstpagestylePsakdin">
    <w:name w:val="First page style Psak din"/>
    <w:basedOn w:val="Ruller3"/>
    <w:pPr>
      <w:tabs>
        <w:tab w:val="clear" w:pos="3210"/>
        <w:tab w:val="left" w:pos="3209"/>
      </w:tabs>
    </w:pPr>
    <w:rPr>
      <w:bCs/>
    </w:rPr>
  </w:style>
  <w:style w:type="paragraph" w:customStyle="1" w:styleId="TyutaDate">
    <w:name w:val="Tyuta Date"/>
    <w:basedOn w:val="a"/>
    <w:pPr>
      <w:jc w:val="center"/>
    </w:pPr>
    <w:rPr>
      <w:b/>
      <w:bCs/>
      <w:i/>
      <w:iCs/>
      <w:sz w:val="28"/>
      <w:szCs w:val="28"/>
    </w:rPr>
  </w:style>
  <w:style w:type="paragraph" w:customStyle="1" w:styleId="DocumentHead">
    <w:name w:val="Document Head"/>
    <w:basedOn w:val="a"/>
    <w:pPr>
      <w:spacing w:line="360" w:lineRule="auto"/>
      <w:jc w:val="center"/>
    </w:pPr>
    <w:rPr>
      <w:bCs/>
      <w:spacing w:val="30"/>
      <w:szCs w:val="28"/>
      <w:u w:val="single"/>
    </w:rPr>
  </w:style>
  <w:style w:type="paragraph" w:customStyle="1" w:styleId="TfutzaList">
    <w:name w:val="Tfutza List"/>
    <w:basedOn w:val="a"/>
    <w:rPr>
      <w:i/>
      <w:iCs/>
    </w:rPr>
  </w:style>
  <w:style w:type="paragraph" w:customStyle="1" w:styleId="Ruller41">
    <w:name w:val="Ruller4"/>
    <w:basedOn w:val="a"/>
    <w:link w:val="Ruller42"/>
    <w:rsid w:val="00A51FAE"/>
    <w:pPr>
      <w:tabs>
        <w:tab w:val="left" w:pos="800"/>
      </w:tabs>
      <w:spacing w:line="360" w:lineRule="auto"/>
      <w:jc w:val="both"/>
    </w:pPr>
    <w:rPr>
      <w:rFonts w:ascii="Arial TUR" w:hAnsi="Arial TUR" w:cs="FrankRuehl"/>
      <w:spacing w:val="10"/>
      <w:sz w:val="22"/>
      <w:szCs w:val="28"/>
    </w:rPr>
  </w:style>
  <w:style w:type="paragraph" w:customStyle="1" w:styleId="Ruller5">
    <w:name w:val="Ruller5"/>
    <w:basedOn w:val="a"/>
    <w:rsid w:val="00A51FAE"/>
    <w:pPr>
      <w:ind w:left="1642" w:right="1282"/>
      <w:jc w:val="both"/>
    </w:pPr>
    <w:rPr>
      <w:rFonts w:ascii="Arial TUR" w:hAnsi="Arial TUR" w:cs="FrankRuehl"/>
      <w:spacing w:val="10"/>
      <w:sz w:val="22"/>
      <w:szCs w:val="28"/>
    </w:rPr>
  </w:style>
  <w:style w:type="paragraph" w:customStyle="1" w:styleId="Ruller6">
    <w:name w:val="Ruller6"/>
    <w:basedOn w:val="a"/>
    <w:rsid w:val="00A51FAE"/>
    <w:pPr>
      <w:tabs>
        <w:tab w:val="left" w:pos="794"/>
        <w:tab w:val="left" w:pos="2268"/>
        <w:tab w:val="left" w:pos="5783"/>
        <w:tab w:val="left" w:pos="7371"/>
      </w:tabs>
    </w:pPr>
    <w:rPr>
      <w:rFonts w:ascii="Arial TUR" w:hAnsi="Arial TUR" w:cs="DavidFix"/>
      <w:spacing w:val="10"/>
      <w:sz w:val="22"/>
      <w:szCs w:val="20"/>
    </w:rPr>
  </w:style>
  <w:style w:type="character" w:customStyle="1" w:styleId="Delete">
    <w:name w:val="Delete"/>
    <w:rPr>
      <w:strike/>
    </w:rPr>
  </w:style>
  <w:style w:type="paragraph" w:customStyle="1" w:styleId="WriterName">
    <w:name w:val="Writer Name"/>
    <w:basedOn w:val="Ruller41"/>
    <w:next w:val="Ruller41"/>
    <w:rPr>
      <w:rFonts w:cs="David"/>
      <w:b/>
      <w:bCs/>
      <w:u w:val="single"/>
    </w:rPr>
  </w:style>
  <w:style w:type="character" w:customStyle="1" w:styleId="Hand">
    <w:name w:val="Hand"/>
    <w:rPr>
      <w:rFonts w:cs="Guttman Yad"/>
    </w:rPr>
  </w:style>
  <w:style w:type="paragraph" w:styleId="a3">
    <w:name w:val="footer"/>
    <w:basedOn w:val="a"/>
    <w:link w:val="a4"/>
    <w:pPr>
      <w:tabs>
        <w:tab w:val="center" w:pos="4153"/>
        <w:tab w:val="right" w:pos="8306"/>
      </w:tabs>
    </w:pPr>
  </w:style>
  <w:style w:type="character" w:styleId="a5">
    <w:name w:val="page number"/>
    <w:basedOn w:val="a0"/>
  </w:style>
  <w:style w:type="paragraph" w:styleId="a6">
    <w:name w:val="header"/>
    <w:basedOn w:val="a"/>
    <w:link w:val="a7"/>
    <w:pPr>
      <w:tabs>
        <w:tab w:val="center" w:pos="4153"/>
        <w:tab w:val="right" w:pos="8306"/>
      </w:tabs>
    </w:pPr>
  </w:style>
  <w:style w:type="paragraph" w:customStyle="1" w:styleId="2">
    <w:name w:val="ñâðåï2"/>
    <w:basedOn w:val="a"/>
    <w:pPr>
      <w:overflowPunct/>
      <w:textAlignment w:val="auto"/>
    </w:pPr>
    <w:rPr>
      <w:rFonts w:cs="Times New Roman"/>
    </w:rPr>
  </w:style>
  <w:style w:type="paragraph" w:customStyle="1" w:styleId="Casenameintextbody">
    <w:name w:val="Case name in text body"/>
    <w:basedOn w:val="a"/>
    <w:pPr>
      <w:overflowPunct/>
      <w:jc w:val="right"/>
      <w:textAlignment w:val="auto"/>
    </w:pPr>
    <w:rPr>
      <w:rFonts w:cs="Times New Roman"/>
      <w:b/>
      <w:bCs/>
      <w:u w:val="single"/>
    </w:rPr>
  </w:style>
  <w:style w:type="paragraph" w:customStyle="1" w:styleId="precasestyle">
    <w:name w:val="pre_case style"/>
    <w:basedOn w:val="a"/>
    <w:pPr>
      <w:tabs>
        <w:tab w:val="left" w:pos="2552"/>
      </w:tabs>
      <w:overflowPunct/>
      <w:ind w:right="2549"/>
      <w:textAlignment w:val="auto"/>
    </w:pPr>
    <w:rPr>
      <w:rFonts w:cs="Times New Roman"/>
    </w:rPr>
  </w:style>
  <w:style w:type="paragraph" w:customStyle="1" w:styleId="BodyRuller">
    <w:name w:val="Body Ruller"/>
    <w:basedOn w:val="a"/>
    <w:rPr>
      <w:sz w:val="22"/>
      <w:szCs w:val="28"/>
    </w:rPr>
  </w:style>
  <w:style w:type="paragraph" w:customStyle="1" w:styleId="Ruller38">
    <w:name w:val="סגנון Ruller 3 + (מורכב) ‏8 נק"/>
    <w:basedOn w:val="BodyRuller"/>
    <w:rPr>
      <w:szCs w:val="16"/>
    </w:rPr>
  </w:style>
  <w:style w:type="character" w:customStyle="1" w:styleId="Ruller30">
    <w:name w:val="Ruller 3 תו"/>
    <w:rPr>
      <w:rFonts w:cs="FrankRuehl"/>
      <w:sz w:val="22"/>
      <w:szCs w:val="28"/>
      <w:lang w:val="en-US" w:eastAsia="en-US" w:bidi="he-IL"/>
    </w:rPr>
  </w:style>
  <w:style w:type="character" w:customStyle="1" w:styleId="BodyRuller0">
    <w:name w:val="Body Ruller תו"/>
    <w:rPr>
      <w:rFonts w:cs="David"/>
      <w:sz w:val="22"/>
      <w:szCs w:val="28"/>
      <w:lang w:val="en-US" w:eastAsia="en-US" w:bidi="he-IL"/>
    </w:rPr>
  </w:style>
  <w:style w:type="character" w:customStyle="1" w:styleId="Ruller380">
    <w:name w:val="סגנון Ruller 3 + (מורכב) ‏8 נק תו"/>
    <w:rPr>
      <w:rFonts w:cs="David"/>
      <w:sz w:val="22"/>
      <w:szCs w:val="16"/>
      <w:lang w:val="en-US" w:eastAsia="en-US" w:bidi="he-IL"/>
    </w:rPr>
  </w:style>
  <w:style w:type="paragraph" w:customStyle="1" w:styleId="FileNumber0">
    <w:name w:val="סגנון File Number + ימין"/>
    <w:basedOn w:val="FileNumber"/>
    <w:rsid w:val="004C7868"/>
    <w:pPr>
      <w:jc w:val="left"/>
    </w:pPr>
    <w:rPr>
      <w:szCs w:val="28"/>
    </w:rPr>
  </w:style>
  <w:style w:type="paragraph" w:customStyle="1" w:styleId="BODYVERDICT">
    <w:name w:val="BODY VERDICT"/>
    <w:basedOn w:val="a"/>
    <w:rsid w:val="00036227"/>
    <w:rPr>
      <w:rFonts w:cs="FrankRuehl"/>
      <w:spacing w:val="10"/>
      <w:sz w:val="22"/>
      <w:szCs w:val="28"/>
    </w:rPr>
  </w:style>
  <w:style w:type="character" w:styleId="Hyperlink">
    <w:name w:val="Hyperlink"/>
    <w:rsid w:val="003F1F97"/>
    <w:rPr>
      <w:color w:val="0000FF"/>
      <w:u w:val="single"/>
    </w:rPr>
  </w:style>
  <w:style w:type="table" w:styleId="a8">
    <w:name w:val="Table Grid"/>
    <w:basedOn w:val="a1"/>
    <w:rsid w:val="003F1F97"/>
    <w:pPr>
      <w:overflowPunct w:val="0"/>
      <w:autoSpaceDE w:val="0"/>
      <w:autoSpaceDN w:val="0"/>
      <w:bidi/>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rsid w:val="0058440A"/>
    <w:rPr>
      <w:color w:val="954F72" w:themeColor="followedHyperlink"/>
      <w:u w:val="single"/>
    </w:rPr>
  </w:style>
  <w:style w:type="character" w:styleId="a9">
    <w:name w:val="annotation reference"/>
    <w:basedOn w:val="a0"/>
    <w:rsid w:val="00D00B1D"/>
    <w:rPr>
      <w:sz w:val="16"/>
      <w:szCs w:val="16"/>
    </w:rPr>
  </w:style>
  <w:style w:type="paragraph" w:styleId="aa">
    <w:name w:val="annotation text"/>
    <w:basedOn w:val="a"/>
    <w:link w:val="ab"/>
    <w:rsid w:val="00D00B1D"/>
    <w:rPr>
      <w:szCs w:val="20"/>
    </w:rPr>
  </w:style>
  <w:style w:type="character" w:customStyle="1" w:styleId="ab">
    <w:name w:val="טקסט הערה תו"/>
    <w:basedOn w:val="a0"/>
    <w:link w:val="aa"/>
    <w:rsid w:val="00D00B1D"/>
    <w:rPr>
      <w:rFonts w:cs="David"/>
    </w:rPr>
  </w:style>
  <w:style w:type="paragraph" w:styleId="ac">
    <w:name w:val="annotation subject"/>
    <w:basedOn w:val="aa"/>
    <w:next w:val="aa"/>
    <w:link w:val="ad"/>
    <w:rsid w:val="00D00B1D"/>
    <w:rPr>
      <w:b/>
      <w:bCs/>
    </w:rPr>
  </w:style>
  <w:style w:type="character" w:customStyle="1" w:styleId="ad">
    <w:name w:val="נושא הערה תו"/>
    <w:basedOn w:val="ab"/>
    <w:link w:val="ac"/>
    <w:rsid w:val="00D00B1D"/>
    <w:rPr>
      <w:rFonts w:cs="David"/>
      <w:b/>
      <w:bCs/>
    </w:rPr>
  </w:style>
  <w:style w:type="paragraph" w:styleId="ae">
    <w:name w:val="Balloon Text"/>
    <w:basedOn w:val="a"/>
    <w:link w:val="af"/>
    <w:rsid w:val="00D00B1D"/>
    <w:rPr>
      <w:rFonts w:ascii="Tahoma" w:hAnsi="Tahoma" w:cs="Tahoma"/>
      <w:sz w:val="18"/>
      <w:szCs w:val="18"/>
    </w:rPr>
  </w:style>
  <w:style w:type="character" w:customStyle="1" w:styleId="af">
    <w:name w:val="טקסט בלונים תו"/>
    <w:basedOn w:val="a0"/>
    <w:link w:val="ae"/>
    <w:rsid w:val="00D00B1D"/>
    <w:rPr>
      <w:rFonts w:ascii="Tahoma" w:hAnsi="Tahoma" w:cs="Tahoma"/>
      <w:sz w:val="18"/>
      <w:szCs w:val="18"/>
    </w:rPr>
  </w:style>
  <w:style w:type="character" w:customStyle="1" w:styleId="50">
    <w:name w:val="כותרת 5 תו"/>
    <w:basedOn w:val="a0"/>
    <w:link w:val="5"/>
    <w:uiPriority w:val="9"/>
    <w:rsid w:val="003C5F47"/>
    <w:rPr>
      <w:b/>
      <w:bCs/>
    </w:rPr>
  </w:style>
  <w:style w:type="character" w:customStyle="1" w:styleId="a4">
    <w:name w:val="כותרת תחתונה תו"/>
    <w:basedOn w:val="a0"/>
    <w:link w:val="a3"/>
    <w:rsid w:val="003C5F47"/>
    <w:rPr>
      <w:rFonts w:cs="David"/>
      <w:szCs w:val="24"/>
    </w:rPr>
  </w:style>
  <w:style w:type="character" w:customStyle="1" w:styleId="a7">
    <w:name w:val="כותרת עליונה תו"/>
    <w:basedOn w:val="a0"/>
    <w:link w:val="a6"/>
    <w:rsid w:val="003C5F47"/>
    <w:rPr>
      <w:rFonts w:cs="David"/>
      <w:szCs w:val="24"/>
    </w:rPr>
  </w:style>
  <w:style w:type="paragraph" w:customStyle="1" w:styleId="Ruller4">
    <w:name w:val="Ruller 4 ממוספר"/>
    <w:basedOn w:val="Ruller41"/>
    <w:next w:val="Ruller41"/>
    <w:rsid w:val="003C5F47"/>
    <w:pPr>
      <w:numPr>
        <w:numId w:val="11"/>
      </w:numPr>
    </w:pPr>
    <w:rPr>
      <w:rFonts w:ascii="Garamond" w:hAnsi="Garamond"/>
      <w:sz w:val="24"/>
    </w:rPr>
  </w:style>
  <w:style w:type="paragraph" w:customStyle="1" w:styleId="Ruller40">
    <w:name w:val="Ruller4 אלפביתי"/>
    <w:basedOn w:val="Ruller41"/>
    <w:next w:val="Ruller41"/>
    <w:rsid w:val="003C5F47"/>
    <w:pPr>
      <w:numPr>
        <w:numId w:val="12"/>
      </w:numPr>
    </w:pPr>
  </w:style>
  <w:style w:type="paragraph" w:styleId="af0">
    <w:name w:val="List Paragraph"/>
    <w:basedOn w:val="a"/>
    <w:uiPriority w:val="34"/>
    <w:qFormat/>
    <w:rsid w:val="003C5F47"/>
    <w:pPr>
      <w:spacing w:line="360" w:lineRule="auto"/>
      <w:ind w:left="720"/>
      <w:contextualSpacing/>
    </w:pPr>
    <w:rPr>
      <w:rFonts w:ascii="Century" w:hAnsi="Century" w:cs="FrankRuehl"/>
      <w:spacing w:val="10"/>
      <w:szCs w:val="28"/>
    </w:rPr>
  </w:style>
  <w:style w:type="character" w:customStyle="1" w:styleId="Ruller42">
    <w:name w:val="Ruller4 תו"/>
    <w:basedOn w:val="a0"/>
    <w:link w:val="Ruller41"/>
    <w:locked/>
    <w:rsid w:val="003C5F47"/>
    <w:rPr>
      <w:rFonts w:ascii="Arial TUR" w:hAnsi="Arial TUR" w:cs="FrankRuehl"/>
      <w:spacing w:val="10"/>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upreme.court.gov.i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5557</Words>
  <Characters>26105</Characters>
  <Application>Microsoft Office Word</Application>
  <DocSecurity>0</DocSecurity>
  <Lines>217</Lines>
  <Paragraphs>63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31599</CharactersWithSpaces>
  <SharedDoc>false</SharedDoc>
  <HLinks>
    <vt:vector size="6" baseType="variant">
      <vt:variant>
        <vt:i4>1966158</vt:i4>
      </vt:variant>
      <vt:variant>
        <vt:i4>12</vt:i4>
      </vt:variant>
      <vt:variant>
        <vt:i4>0</vt:i4>
      </vt:variant>
      <vt:variant>
        <vt:i4>5</vt:i4>
      </vt:variant>
      <vt:variant>
        <vt:lpwstr>http://www.court.gov.il/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
  <cp:lastPrinted>2021-08-26T07:00:24Z</cp:lastPrinted>
  <dcterms:created xsi:type="dcterms:W3CDTF">2021-08-26T07:00:24Z</dcterms:created>
  <dcterms:modified xsi:type="dcterms:W3CDTF">2021-08-26T07:00:24Z</dcterms:modified>
</cp:coreProperties>
</file>