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8363" w:type="dxa"/>
        <w:tblInd w:w="9" w:type="dxa"/>
        <w:tblLook w:val="0000" w:firstRow="0" w:lastRow="0" w:firstColumn="0" w:lastColumn="0" w:noHBand="0" w:noVBand="0"/>
      </w:tblPr>
      <w:tblGrid>
        <w:gridCol w:w="8363"/>
      </w:tblGrid>
      <w:tr>
        <w:tc>
          <w:tcPr>
            <w:tcW w:w="8363" w:type="dxa"/>
          </w:tcPr>
          <w:p>
            <w:pPr>
              <w:pStyle w:val="FileNumber0"/>
              <w:rPr>
                <w:sz w:val="28"/>
                <w:u w:val="single"/>
                <w:rtl/>
              </w:rPr>
            </w:pPr>
            <w:r>
              <w:rPr>
                <w:u w:val="single"/>
                <w:rtl/>
              </w:rPr>
              <w:t>בבית המשפט העליון</w:t>
            </w:r>
          </w:p>
        </w:tc>
      </w:tr>
    </w:tbl>
    <w:p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>
        <w:trPr>
          <w:trHeight w:val="342"/>
        </w:trPr>
        <w:tc>
          <w:tcPr>
            <w:tcW w:w="9828" w:type="dxa"/>
          </w:tcPr>
          <w:p>
            <w:pPr>
              <w:pStyle w:val="FileNumber"/>
              <w:rPr>
                <w:sz w:val="28"/>
                <w:szCs w:val="28"/>
              </w:rPr>
            </w:pPr>
            <w:bookmarkStart w:id="0" w:name="casename_body"/>
            <w:r>
              <w:rPr>
                <w:sz w:val="28"/>
                <w:szCs w:val="28"/>
                <w:rtl/>
              </w:rPr>
              <w:t>מ"ח  1689/17</w:t>
            </w:r>
          </w:p>
        </w:tc>
      </w:tr>
      <w:bookmarkEnd w:id="0"/>
    </w:tbl>
    <w:p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>
        <w:trPr>
          <w:trHeight w:val="287"/>
        </w:trPr>
        <w:tc>
          <w:tcPr>
            <w:tcW w:w="3261" w:type="dxa"/>
          </w:tcPr>
          <w:p>
            <w:pPr>
              <w:pStyle w:val="BodyRuller"/>
              <w:rPr>
                <w:rFonts w:cs="Miriam"/>
                <w:b/>
                <w:bCs/>
                <w:u w:val="single"/>
              </w:rPr>
            </w:pP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>פני:</w:t>
            </w:r>
            <w:r>
              <w:rPr>
                <w:rtl/>
              </w:rPr>
              <w:tab/>
            </w:r>
          </w:p>
        </w:tc>
        <w:tc>
          <w:tcPr>
            <w:tcW w:w="5239" w:type="dxa"/>
          </w:tcPr>
          <w:p>
            <w:pPr>
              <w:pStyle w:val="BodyRuller"/>
            </w:pPr>
            <w:r>
              <w:rPr>
                <w:rtl/>
              </w:rPr>
              <w:t>כבוד השופט נ' הנדל</w:t>
            </w:r>
          </w:p>
        </w:tc>
      </w:tr>
    </w:tbl>
    <w:p>
      <w:pPr>
        <w:pStyle w:val="Ruller3"/>
        <w:rPr>
          <w:rFonts w:cs="Miriam"/>
          <w:b/>
          <w:bCs/>
          <w:u w:val="single"/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>
        <w:trPr>
          <w:trHeight w:val="287"/>
        </w:trPr>
        <w:tc>
          <w:tcPr>
            <w:tcW w:w="3261" w:type="dxa"/>
          </w:tcPr>
          <w:p>
            <w:pPr>
              <w:pStyle w:val="BodyRuller"/>
              <w:rPr>
                <w:rFonts w:ascii="David" w:hAnsi="David"/>
              </w:rPr>
            </w:pPr>
            <w:r>
              <w:rPr>
                <w:rFonts w:ascii="David" w:hAnsi="David"/>
                <w:rtl/>
              </w:rPr>
              <w:t>המבקש:</w:t>
            </w:r>
          </w:p>
        </w:tc>
        <w:tc>
          <w:tcPr>
            <w:tcW w:w="5239" w:type="dxa"/>
          </w:tcPr>
          <w:p>
            <w:pPr>
              <w:pStyle w:val="BodyRuller"/>
            </w:pPr>
            <w:r>
              <w:rPr>
                <w:rtl/>
              </w:rPr>
              <w:t>ויקטור גואטה</w:t>
            </w:r>
          </w:p>
        </w:tc>
      </w:tr>
    </w:tbl>
    <w:p>
      <w:pPr>
        <w:pStyle w:val="Ruller3"/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3222"/>
        <w:gridCol w:w="5141"/>
      </w:tblGrid>
      <w:tr>
        <w:tc>
          <w:tcPr>
            <w:tcW w:w="3284" w:type="dxa"/>
          </w:tcPr>
          <w:p>
            <w:pPr>
              <w:pStyle w:val="BodyRuller"/>
            </w:pPr>
          </w:p>
        </w:tc>
        <w:tc>
          <w:tcPr>
            <w:tcW w:w="5238" w:type="dxa"/>
          </w:tcPr>
          <w:p>
            <w:pPr>
              <w:pStyle w:val="BodyRuller"/>
            </w:pPr>
            <w:r>
              <w:rPr>
                <w:rFonts w:hint="cs"/>
                <w:rtl/>
              </w:rPr>
              <w:t>נ</w:t>
            </w:r>
            <w:r>
              <w:t xml:space="preserve">  </w:t>
            </w:r>
            <w:r>
              <w:rPr>
                <w:rFonts w:hint="cs"/>
                <w:rtl/>
              </w:rPr>
              <w:t>ג</w:t>
            </w:r>
            <w:r>
              <w:t xml:space="preserve">  </w:t>
            </w:r>
            <w:r>
              <w:rPr>
                <w:rFonts w:hint="cs"/>
                <w:rtl/>
              </w:rPr>
              <w:t>ד</w:t>
            </w:r>
          </w:p>
        </w:tc>
      </w:tr>
    </w:tbl>
    <w:p>
      <w:pPr>
        <w:pStyle w:val="Ruller3"/>
        <w:rPr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>
        <w:trPr>
          <w:trHeight w:val="287"/>
        </w:trPr>
        <w:tc>
          <w:tcPr>
            <w:tcW w:w="3261" w:type="dxa"/>
          </w:tcPr>
          <w:p>
            <w:pPr>
              <w:pStyle w:val="BodyRuller"/>
              <w:rPr>
                <w:rFonts w:ascii="David" w:hAnsi="David"/>
              </w:rPr>
            </w:pPr>
            <w:r>
              <w:rPr>
                <w:rFonts w:ascii="David" w:hAnsi="David"/>
                <w:rtl/>
              </w:rPr>
              <w:t>המשיב</w:t>
            </w:r>
            <w:r>
              <w:rPr>
                <w:rFonts w:ascii="David" w:hAnsi="David" w:hint="cs"/>
                <w:rtl/>
              </w:rPr>
              <w:t>ה</w:t>
            </w:r>
            <w:r>
              <w:rPr>
                <w:rFonts w:ascii="David" w:hAnsi="David"/>
                <w:rtl/>
              </w:rPr>
              <w:t>:</w:t>
            </w:r>
          </w:p>
        </w:tc>
        <w:tc>
          <w:tcPr>
            <w:tcW w:w="5239" w:type="dxa"/>
          </w:tcPr>
          <w:p>
            <w:pPr>
              <w:pStyle w:val="BodyRuller"/>
            </w:pPr>
            <w:r>
              <w:rPr>
                <w:rtl/>
              </w:rPr>
              <w:t>מדינת ישראל</w:t>
            </w:r>
          </w:p>
        </w:tc>
      </w:tr>
    </w:tbl>
    <w:p>
      <w:pPr>
        <w:pStyle w:val="Ruller3"/>
      </w:pPr>
    </w:p>
    <w:tbl>
      <w:tblPr>
        <w:bidiVisual/>
        <w:tblW w:w="0" w:type="auto"/>
        <w:tblInd w:w="3209" w:type="dxa"/>
        <w:tblLook w:val="0000" w:firstRow="0" w:lastRow="0" w:firstColumn="0" w:lastColumn="0" w:noHBand="0" w:noVBand="0"/>
      </w:tblPr>
      <w:tblGrid>
        <w:gridCol w:w="5103"/>
      </w:tblGrid>
      <w:tr>
        <w:tc>
          <w:tcPr>
            <w:tcW w:w="5103" w:type="dxa"/>
          </w:tcPr>
          <w:p>
            <w:pPr>
              <w:pStyle w:val="BodyRuller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הודעה מטעם המשיבה על הסכמה לקיום משפט חוזר ובקשה (מוסכמת) להארכת מעצר לפי סעיף 62 לחוק סדר הדין הפלילי (סמכויות אכיפה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מעצרים), התשנ"ו-1996</w:t>
            </w:r>
          </w:p>
        </w:tc>
      </w:tr>
    </w:tbl>
    <w:p>
      <w:pPr>
        <w:pStyle w:val="Ruller3"/>
        <w:rPr>
          <w:rtl/>
        </w:rPr>
      </w:pPr>
    </w:p>
    <w:p>
      <w:pPr>
        <w:pStyle w:val="Ruller3"/>
        <w:rPr>
          <w:rtl/>
        </w:rPr>
      </w:pPr>
      <w:r>
        <w:rPr>
          <w:rFonts w:hint="cs"/>
          <w:rtl/>
        </w:rPr>
        <w:t>בשם המבקש:</w:t>
      </w:r>
      <w:r>
        <w:rPr>
          <w:rtl/>
        </w:rPr>
        <w:tab/>
      </w:r>
      <w:r>
        <w:rPr>
          <w:rFonts w:hint="cs"/>
          <w:rtl/>
        </w:rPr>
        <w:t>עו"ד ירום הלוי</w:t>
      </w:r>
    </w:p>
    <w:p>
      <w:pPr>
        <w:pStyle w:val="Ruller3"/>
      </w:pPr>
      <w:r>
        <w:rPr>
          <w:rFonts w:hint="cs"/>
          <w:rtl/>
        </w:rPr>
        <w:t>בשם המשיבה:</w:t>
      </w:r>
      <w:r>
        <w:rPr>
          <w:rtl/>
        </w:rPr>
        <w:tab/>
      </w:r>
      <w:r>
        <w:rPr>
          <w:rFonts w:hint="cs"/>
          <w:rtl/>
        </w:rPr>
        <w:t>עו"ד יוסף (ג'ואי) אש</w:t>
      </w: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>
        <w:tc>
          <w:tcPr>
            <w:tcW w:w="8363" w:type="dxa"/>
          </w:tcPr>
          <w:p>
            <w:pPr>
              <w:pStyle w:val="DocumentHead"/>
            </w:pPr>
            <w:bookmarkStart w:id="1" w:name="secretary"/>
            <w:bookmarkStart w:id="2" w:name="BeginProtocol"/>
            <w:bookmarkEnd w:id="1"/>
            <w:bookmarkEnd w:id="2"/>
            <w:r>
              <w:rPr>
                <w:rtl/>
              </w:rPr>
              <w:t>החלטה</w:t>
            </w:r>
          </w:p>
        </w:tc>
      </w:tr>
    </w:tbl>
    <w:p>
      <w:pPr>
        <w:pStyle w:val="BODYVERDICT"/>
      </w:pPr>
    </w:p>
    <w:p>
      <w:pPr>
        <w:pStyle w:val="Ruller4"/>
        <w:rPr>
          <w:szCs w:val="22"/>
        </w:rPr>
      </w:pPr>
      <w:bookmarkStart w:id="3" w:name="Writer_Name"/>
      <w:bookmarkStart w:id="4" w:name="Start_Write"/>
      <w:bookmarkEnd w:id="3"/>
      <w:bookmarkEnd w:id="4"/>
      <w:r>
        <w:rPr>
          <w:rtl/>
        </w:rPr>
        <w:tab/>
      </w:r>
      <w:r>
        <w:rPr>
          <w:rFonts w:hint="cs"/>
          <w:rtl/>
        </w:rPr>
        <w:t>בנסיבות העניין, ו</w:t>
      </w:r>
      <w:r>
        <w:rPr>
          <w:rtl/>
        </w:rPr>
        <w:t xml:space="preserve">בהתאם להסכמת </w:t>
      </w:r>
      <w:r>
        <w:rPr>
          <w:rFonts w:hint="cs"/>
          <w:rtl/>
        </w:rPr>
        <w:t xml:space="preserve">המדינה </w:t>
      </w:r>
      <w:r>
        <w:rPr>
          <w:rtl/>
        </w:rPr>
        <w:t>–</w:t>
      </w:r>
      <w:r>
        <w:rPr>
          <w:rFonts w:hint="cs"/>
          <w:rtl/>
        </w:rPr>
        <w:t xml:space="preserve"> המבוססת על גילוי חומר חקירה חדש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tl/>
        </w:rPr>
        <w:t xml:space="preserve">אני מורה על קיום משפט חוזר למבקש, שיתקיים בבית המשפט המחוזי בתל אביב-יפו. </w:t>
      </w:r>
      <w:r>
        <w:rPr>
          <w:rFonts w:hint="cs"/>
          <w:rtl/>
        </w:rPr>
        <w:t xml:space="preserve">לנוכח </w:t>
      </w:r>
      <w:r>
        <w:rPr>
          <w:rtl/>
        </w:rPr>
        <w:t>ההסכמה</w:t>
      </w:r>
      <w:r>
        <w:rPr>
          <w:rFonts w:hint="cs"/>
          <w:rtl/>
        </w:rPr>
        <w:t xml:space="preserve"> והבסיס לה</w:t>
      </w:r>
      <w:r>
        <w:rPr>
          <w:rtl/>
        </w:rPr>
        <w:t xml:space="preserve">, אין מקום </w:t>
      </w:r>
      <w:r>
        <w:rPr>
          <w:rFonts w:hint="cs"/>
          <w:rtl/>
        </w:rPr>
        <w:t xml:space="preserve">להתייחס לטענות המבקש שאינן מקובלות על בא כוח המדינה, בדבר הסתרה זדונית של החומר או פעולות חקירה בלתי חוקיות שבוצעו </w:t>
      </w:r>
      <w:r>
        <w:rPr>
          <w:rtl/>
        </w:rPr>
        <w:t>– סוגי</w:t>
      </w:r>
      <w:r>
        <w:rPr>
          <w:rFonts w:hint="cs"/>
          <w:rtl/>
        </w:rPr>
        <w:t>ות</w:t>
      </w:r>
      <w:r>
        <w:rPr>
          <w:rtl/>
        </w:rPr>
        <w:t xml:space="preserve"> שאינ</w:t>
      </w:r>
      <w:r>
        <w:rPr>
          <w:rFonts w:hint="cs"/>
          <w:rtl/>
        </w:rPr>
        <w:t>ן</w:t>
      </w:r>
      <w:r>
        <w:rPr>
          <w:rtl/>
        </w:rPr>
        <w:t xml:space="preserve"> נדרשת להכרעה בהליך הנוכחי</w:t>
      </w:r>
      <w:r>
        <w:rPr>
          <w:rFonts w:hint="cs"/>
          <w:rtl/>
        </w:rPr>
        <w:t xml:space="preserve"> לאור ההסכמה לקיום המשפט החוזר</w:t>
      </w:r>
      <w:r>
        <w:rPr>
          <w:rtl/>
        </w:rPr>
        <w:t xml:space="preserve">. </w:t>
      </w:r>
    </w:p>
    <w:p>
      <w:pPr>
        <w:rPr>
          <w:rFonts w:ascii="Arial" w:hAnsi="Arial" w:cs="Arial"/>
        </w:rPr>
      </w:pPr>
    </w:p>
    <w:p>
      <w:pPr>
        <w:pStyle w:val="Ruller4"/>
        <w:rPr>
          <w:rtl/>
        </w:rPr>
      </w:pPr>
      <w:r>
        <w:rPr>
          <w:rtl/>
        </w:rPr>
        <w:tab/>
        <w:t>כמבוקש על ידי המדינה וכמוסכם על בא כוח המבקש, הנני מורה על מעצרו של המבקש מכוח סעיף 62 לחוק סדר הדין הפלילי (סמכויות אכיפה – מעצרים), התשנ"ו-1996 לתקופה של תשעים ימים, או עד למתן החלטה אחרת בעניינו בבית המשפט המחוזי, לפי המוקדם.</w:t>
      </w:r>
    </w:p>
    <w:p>
      <w:pPr>
        <w:pStyle w:val="Ruller4"/>
        <w:rPr>
          <w:rtl/>
        </w:rPr>
      </w:pPr>
    </w:p>
    <w:p>
      <w:pPr>
        <w:pStyle w:val="Ruller4"/>
        <w:rPr>
          <w:rtl/>
        </w:rPr>
      </w:pPr>
      <w:r>
        <w:rPr>
          <w:rtl/>
        </w:rPr>
        <w:tab/>
        <w:t xml:space="preserve">ניתנה היום, </w:t>
      </w:r>
      <w:r>
        <w:rPr>
          <w:rFonts w:hint="eastAsia"/>
          <w:rtl/>
        </w:rPr>
        <w:t>‏</w:t>
      </w:r>
      <w:r>
        <w:rPr>
          <w:rFonts w:hint="cs"/>
          <w:rtl/>
        </w:rPr>
        <w:t>כ"א</w:t>
      </w:r>
      <w:r>
        <w:rPr>
          <w:rtl/>
        </w:rPr>
        <w:t xml:space="preserve"> באדר א התשע"ט (</w:t>
      </w:r>
      <w:r>
        <w:rPr>
          <w:rFonts w:hint="eastAsia"/>
          <w:rtl/>
        </w:rPr>
        <w:t>‏</w:t>
      </w:r>
      <w:r>
        <w:rPr>
          <w:rFonts w:hint="cs"/>
          <w:rtl/>
        </w:rPr>
        <w:t>26</w:t>
      </w:r>
      <w:r>
        <w:rPr>
          <w:rtl/>
        </w:rPr>
        <w:t>.2.2019).</w:t>
      </w:r>
    </w:p>
    <w:p>
      <w:pPr>
        <w:pStyle w:val="Ruller4"/>
        <w:rPr>
          <w:rtl/>
        </w:rPr>
      </w:pPr>
    </w:p>
    <w:tbl>
      <w:tblPr>
        <w:bidiVisual/>
        <w:tblW w:w="8363" w:type="dxa"/>
        <w:tblLook w:val="01E0" w:firstRow="1" w:lastRow="1" w:firstColumn="1" w:lastColumn="1" w:noHBand="0" w:noVBand="0"/>
      </w:tblPr>
      <w:tblGrid>
        <w:gridCol w:w="2786"/>
        <w:gridCol w:w="2787"/>
        <w:gridCol w:w="2790"/>
      </w:tblGrid>
      <w:tr>
        <w:tc>
          <w:tcPr>
            <w:tcW w:w="2842" w:type="dxa"/>
            <w:shd w:val="clear" w:color="auto" w:fill="auto"/>
          </w:tcPr>
          <w:p>
            <w:pPr>
              <w:pStyle w:val="Ruller4"/>
              <w:rPr>
                <w:rtl/>
              </w:rPr>
            </w:pPr>
          </w:p>
        </w:tc>
        <w:tc>
          <w:tcPr>
            <w:tcW w:w="2843" w:type="dxa"/>
            <w:shd w:val="clear" w:color="auto" w:fill="auto"/>
          </w:tcPr>
          <w:p>
            <w:pPr>
              <w:pStyle w:val="Ruller4"/>
              <w:jc w:val="center"/>
              <w:rPr>
                <w:rtl/>
              </w:rPr>
            </w:pPr>
          </w:p>
        </w:tc>
        <w:tc>
          <w:tcPr>
            <w:tcW w:w="2843" w:type="dxa"/>
            <w:shd w:val="clear" w:color="auto" w:fill="auto"/>
          </w:tcPr>
          <w:p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ש ו פ ט</w:t>
            </w:r>
          </w:p>
        </w:tc>
      </w:tr>
    </w:tbl>
    <w:p>
      <w:pPr>
        <w:rPr>
          <w:szCs w:val="16"/>
          <w:rtl/>
        </w:rPr>
      </w:pPr>
      <w:r>
        <w:rPr>
          <w:szCs w:val="16"/>
          <w:rtl/>
        </w:rPr>
        <w:t>_________________</w:t>
      </w:r>
      <w:r>
        <w:rPr>
          <w:rFonts w:hint="cs"/>
          <w:szCs w:val="16"/>
          <w:rtl/>
        </w:rPr>
        <w:t>________</w:t>
      </w:r>
    </w:p>
    <w:p>
      <w:pPr>
        <w:pStyle w:val="Ruller38"/>
        <w:rPr>
          <w:rtl/>
        </w:rPr>
      </w:pPr>
      <w:r>
        <w:rPr>
          <w:sz w:val="16"/>
        </w:rPr>
        <w:t xml:space="preserve">   17016890_Z25.docx   </w:t>
      </w:r>
      <w:r>
        <w:rPr>
          <w:sz w:val="16"/>
          <w:rtl/>
        </w:rPr>
        <w:t>מא</w:t>
      </w:r>
    </w:p>
    <w:p>
      <w:pPr>
        <w:pStyle w:val="Ruller38"/>
        <w:rPr>
          <w:rtl/>
        </w:rPr>
      </w:pPr>
      <w:r>
        <w:rPr>
          <w:rtl/>
        </w:rPr>
        <w:t>מרכז מידע, טל'</w:t>
      </w:r>
      <w:r>
        <w:rPr>
          <w:rFonts w:hint="cs"/>
          <w:rtl/>
        </w:rPr>
        <w:t xml:space="preserve"> 077-2703333 ; אתר אינטרנט,  </w:t>
      </w:r>
      <w:hyperlink r:id="rId8" w:history="1">
        <w:r>
          <w:rPr>
            <w:rStyle w:val="Hyperlink"/>
            <w:sz w:val="16"/>
          </w:rPr>
          <w:t>http://supreme.court.gov.i</w:t>
        </w:r>
      </w:hyperlink>
      <w:r>
        <w:rPr>
          <w:sz w:val="16"/>
        </w:rPr>
        <w:t>l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1134" w:right="1797" w:bottom="1440" w:left="1797" w:header="567" w:footer="397" w:gutter="0"/>
      <w:cols w:space="720"/>
      <w:titlePg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3">
      <wne:acd wne:acdName="acd0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SAHUAbABsAGUAcgAgADMA" wne:acdName="acd0" wne:fciIndexBasedOn="0065"/>
    <wne:acd wne:argValue="AgBSAHUAbABsAGUAcgA0AA==" wne:acdName="acd1" wne:fciIndexBasedOn="0065"/>
    <wne:acd wne:argValue="AgBSAHUAbABsAGUAcgA1AA=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TUR">
    <w:altName w:val="Arial"/>
    <w:charset w:val="00"/>
    <w:family w:val="swiss"/>
    <w:pitch w:val="variable"/>
    <w:sig w:usb0="E0002EFF" w:usb1="C000785B" w:usb2="00000009" w:usb3="00000000" w:csb0="000001FF" w:csb1="00000000"/>
  </w:font>
  <w:font w:name="DavidFix">
    <w:charset w:val="B1"/>
    <w:family w:val="auto"/>
    <w:pitch w:val="variable"/>
    <w:sig w:usb0="00001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>
    <w:pPr>
      <w:pStyle w:val="a3"/>
      <w:rPr>
        <w:rtl/>
      </w:rPr>
    </w:pPr>
  </w:p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bidi w:val="0"/>
      <w:jc w:val="right"/>
      <w:rPr>
        <w:sz w:val="16"/>
        <w:szCs w:val="16"/>
      </w:rPr>
    </w:pPr>
    <w:bookmarkStart w:id="5" w:name="footer_line"/>
    <w:bookmarkEnd w:id="5"/>
  </w:p>
  <w:p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>
    <w:pPr>
      <w:pStyle w:val="a5"/>
      <w:rPr>
        <w:rtl/>
      </w:rPr>
    </w:pPr>
  </w:p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>
    <w:pPr>
      <w:pStyle w:val="a5"/>
      <w:rPr>
        <w:rtl/>
      </w:rPr>
    </w:pPr>
  </w:p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8363" w:type="dxa"/>
      <w:tblLook w:val="0000" w:firstRow="0" w:lastRow="0" w:firstColumn="0" w:lastColumn="0" w:noHBand="0" w:noVBand="0"/>
    </w:tblPr>
    <w:tblGrid>
      <w:gridCol w:w="8363"/>
    </w:tblGrid>
    <w:tr>
      <w:trPr>
        <w:trHeight w:val="342"/>
      </w:trPr>
      <w:tc>
        <w:tcPr>
          <w:tcW w:w="9828" w:type="dxa"/>
        </w:tcPr>
        <w:p>
          <w:pPr>
            <w:pStyle w:val="Casenameintextbody"/>
            <w:jc w:val="center"/>
            <w:rPr>
              <w:u w:val="none"/>
              <w:rtl/>
            </w:rPr>
          </w:pPr>
          <w:r>
            <w:rPr>
              <w:noProof/>
              <w:sz w:val="16"/>
              <w:szCs w:val="18"/>
              <w:u w:val="none"/>
              <w:rtl/>
            </w:rPr>
            <w:drawing>
              <wp:inline distT="0" distB="0" distL="0" distR="0">
                <wp:extent cx="464820" cy="449580"/>
                <wp:effectExtent l="0" t="0" r="0" b="762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a5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7A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B8E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485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300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46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CCE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26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A0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00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FC889-028D-4E90-BD0B-860E3F41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ller3">
    <w:name w:val="Ruller 3"/>
    <w:basedOn w:val="a"/>
    <w:pPr>
      <w:tabs>
        <w:tab w:val="left" w:pos="3210"/>
        <w:tab w:val="left" w:pos="6753"/>
      </w:tabs>
      <w:spacing w:line="360" w:lineRule="auto"/>
    </w:pPr>
    <w:rPr>
      <w:rFonts w:cs="FrankRuehl"/>
      <w:spacing w:val="10"/>
      <w:sz w:val="22"/>
      <w:szCs w:val="28"/>
    </w:rPr>
  </w:style>
  <w:style w:type="paragraph" w:customStyle="1" w:styleId="Pskdinhead">
    <w:name w:val="Pskdin head"/>
    <w:basedOn w:val="a"/>
    <w:pPr>
      <w:spacing w:line="360" w:lineRule="auto"/>
    </w:pPr>
    <w:rPr>
      <w:b/>
      <w:bCs/>
      <w:u w:val="single"/>
    </w:rPr>
  </w:style>
  <w:style w:type="paragraph" w:customStyle="1" w:styleId="FileNumber">
    <w:name w:val="File Number"/>
    <w:basedOn w:val="a"/>
    <w:pPr>
      <w:spacing w:line="360" w:lineRule="auto"/>
      <w:jc w:val="right"/>
    </w:pPr>
    <w:rPr>
      <w:bCs/>
    </w:rPr>
  </w:style>
  <w:style w:type="paragraph" w:customStyle="1" w:styleId="FirstpagestylePsakdin">
    <w:name w:val="First page style Psak din"/>
    <w:basedOn w:val="Ruller3"/>
    <w:pPr>
      <w:tabs>
        <w:tab w:val="clear" w:pos="3210"/>
        <w:tab w:val="left" w:pos="3209"/>
      </w:tabs>
    </w:pPr>
    <w:rPr>
      <w:bCs/>
    </w:rPr>
  </w:style>
  <w:style w:type="paragraph" w:customStyle="1" w:styleId="TyutaDate">
    <w:name w:val="Tyuta Date"/>
    <w:basedOn w:val="a"/>
    <w:pPr>
      <w:jc w:val="center"/>
    </w:pPr>
    <w:rPr>
      <w:b/>
      <w:bCs/>
      <w:i/>
      <w:iCs/>
      <w:sz w:val="28"/>
      <w:szCs w:val="28"/>
    </w:rPr>
  </w:style>
  <w:style w:type="paragraph" w:customStyle="1" w:styleId="DocumentHead">
    <w:name w:val="Document Head"/>
    <w:basedOn w:val="a"/>
    <w:pPr>
      <w:spacing w:line="360" w:lineRule="auto"/>
      <w:jc w:val="center"/>
    </w:pPr>
    <w:rPr>
      <w:bCs/>
      <w:spacing w:val="30"/>
      <w:szCs w:val="28"/>
      <w:u w:val="single"/>
    </w:rPr>
  </w:style>
  <w:style w:type="paragraph" w:customStyle="1" w:styleId="TfutzaList">
    <w:name w:val="Tfutza List"/>
    <w:basedOn w:val="a"/>
    <w:rPr>
      <w:i/>
      <w:iCs/>
    </w:rPr>
  </w:style>
  <w:style w:type="paragraph" w:customStyle="1" w:styleId="Ruller4">
    <w:name w:val="Ruller4"/>
    <w:basedOn w:val="a"/>
    <w:pPr>
      <w:tabs>
        <w:tab w:val="left" w:pos="800"/>
      </w:tabs>
      <w:spacing w:line="360" w:lineRule="auto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5">
    <w:name w:val="Ruller5"/>
    <w:basedOn w:val="a"/>
    <w:pPr>
      <w:ind w:left="1642" w:right="1282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6">
    <w:name w:val="Ruller6"/>
    <w:basedOn w:val="a"/>
    <w:pPr>
      <w:tabs>
        <w:tab w:val="left" w:pos="794"/>
        <w:tab w:val="left" w:pos="2268"/>
        <w:tab w:val="left" w:pos="5783"/>
        <w:tab w:val="left" w:pos="7371"/>
      </w:tabs>
    </w:pPr>
    <w:rPr>
      <w:rFonts w:ascii="Arial TUR" w:hAnsi="Arial TUR" w:cs="DavidFix"/>
      <w:spacing w:val="10"/>
      <w:sz w:val="22"/>
      <w:szCs w:val="20"/>
    </w:rPr>
  </w:style>
  <w:style w:type="character" w:customStyle="1" w:styleId="Delete">
    <w:name w:val="Delete"/>
    <w:rPr>
      <w:strike/>
    </w:rPr>
  </w:style>
  <w:style w:type="paragraph" w:customStyle="1" w:styleId="WriterName">
    <w:name w:val="Writer Name"/>
    <w:basedOn w:val="Ruller4"/>
    <w:next w:val="Ruller4"/>
    <w:rPr>
      <w:rFonts w:cs="David"/>
      <w:b/>
      <w:bCs/>
      <w:u w:val="single"/>
    </w:rPr>
  </w:style>
  <w:style w:type="character" w:customStyle="1" w:styleId="Hand">
    <w:name w:val="Hand"/>
    <w:rPr>
      <w:rFonts w:cs="Guttman Yad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2">
    <w:name w:val="ñâðåï2"/>
    <w:basedOn w:val="a"/>
    <w:pPr>
      <w:overflowPunct/>
      <w:textAlignment w:val="auto"/>
    </w:pPr>
    <w:rPr>
      <w:rFonts w:cs="Times New Roman"/>
    </w:rPr>
  </w:style>
  <w:style w:type="paragraph" w:customStyle="1" w:styleId="Casenameintextbody">
    <w:name w:val="Case name in text body"/>
    <w:basedOn w:val="a"/>
    <w:pPr>
      <w:overflowPunct/>
      <w:jc w:val="right"/>
      <w:textAlignment w:val="auto"/>
    </w:pPr>
    <w:rPr>
      <w:rFonts w:cs="Times New Roman"/>
      <w:b/>
      <w:bCs/>
      <w:u w:val="single"/>
    </w:rPr>
  </w:style>
  <w:style w:type="paragraph" w:customStyle="1" w:styleId="precasestyle">
    <w:name w:val="pre_case style"/>
    <w:basedOn w:val="a"/>
    <w:pPr>
      <w:tabs>
        <w:tab w:val="left" w:pos="2552"/>
      </w:tabs>
      <w:overflowPunct/>
      <w:ind w:right="2549"/>
      <w:textAlignment w:val="auto"/>
    </w:pPr>
    <w:rPr>
      <w:rFonts w:cs="Times New Roman"/>
    </w:rPr>
  </w:style>
  <w:style w:type="paragraph" w:customStyle="1" w:styleId="BodyRuller">
    <w:name w:val="Body Ruller"/>
    <w:basedOn w:val="a"/>
    <w:rPr>
      <w:sz w:val="22"/>
      <w:szCs w:val="28"/>
    </w:rPr>
  </w:style>
  <w:style w:type="paragraph" w:customStyle="1" w:styleId="Ruller38">
    <w:name w:val="סגנון Ruller 3 + (מורכב) ‏8 נק"/>
    <w:basedOn w:val="BodyRuller"/>
    <w:rPr>
      <w:szCs w:val="16"/>
    </w:rPr>
  </w:style>
  <w:style w:type="character" w:customStyle="1" w:styleId="Ruller30">
    <w:name w:val="Ruller 3 תו"/>
    <w:rPr>
      <w:rFonts w:cs="FrankRuehl"/>
      <w:sz w:val="22"/>
      <w:szCs w:val="28"/>
      <w:lang w:val="en-US" w:eastAsia="en-US" w:bidi="he-IL"/>
    </w:rPr>
  </w:style>
  <w:style w:type="character" w:customStyle="1" w:styleId="BodyRuller0">
    <w:name w:val="Body Ruller תו"/>
    <w:rPr>
      <w:rFonts w:cs="David"/>
      <w:sz w:val="22"/>
      <w:szCs w:val="28"/>
      <w:lang w:val="en-US" w:eastAsia="en-US" w:bidi="he-IL"/>
    </w:rPr>
  </w:style>
  <w:style w:type="character" w:customStyle="1" w:styleId="Ruller380">
    <w:name w:val="סגנון Ruller 3 + (מורכב) ‏8 נק תו"/>
    <w:rPr>
      <w:rFonts w:cs="David"/>
      <w:sz w:val="22"/>
      <w:szCs w:val="16"/>
      <w:lang w:val="en-US" w:eastAsia="en-US" w:bidi="he-IL"/>
    </w:rPr>
  </w:style>
  <w:style w:type="paragraph" w:customStyle="1" w:styleId="FileNumber0">
    <w:name w:val="סגנון File Number + ימין"/>
    <w:basedOn w:val="FileNumber"/>
    <w:pPr>
      <w:jc w:val="left"/>
    </w:pPr>
    <w:rPr>
      <w:szCs w:val="28"/>
    </w:rPr>
  </w:style>
  <w:style w:type="paragraph" w:customStyle="1" w:styleId="BODYVERDICT">
    <w:name w:val="BODY VERDICT"/>
    <w:basedOn w:val="a"/>
    <w:rPr>
      <w:rFonts w:cs="FrankRuehl"/>
      <w:spacing w:val="10"/>
      <w:sz w:val="22"/>
      <w:szCs w:val="28"/>
    </w:rPr>
  </w:style>
  <w:style w:type="character" w:styleId="Hyperlink">
    <w:name w:val="Hyperlink"/>
    <w:rPr>
      <w:color w:val="0000FF"/>
      <w:u w:val="single"/>
    </w:rPr>
  </w:style>
  <w:style w:type="table" w:styleId="a6">
    <w:name w:val="Table Grid"/>
    <w:basedOn w:val="a1"/>
    <w:pPr>
      <w:overflowPunct w:val="0"/>
      <w:autoSpaceDE w:val="0"/>
      <w:autoSpaceDN w:val="0"/>
      <w:bidi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rPr>
      <w:color w:val="954F72" w:themeColor="followedHyperlink"/>
      <w:u w:val="single"/>
    </w:rPr>
  </w:style>
  <w:style w:type="character" w:styleId="a7">
    <w:name w:val="annotation reference"/>
    <w:basedOn w:val="a0"/>
    <w:rPr>
      <w:sz w:val="16"/>
      <w:szCs w:val="16"/>
    </w:rPr>
  </w:style>
  <w:style w:type="paragraph" w:styleId="a8">
    <w:name w:val="annotation text"/>
    <w:basedOn w:val="a"/>
    <w:link w:val="a9"/>
    <w:rPr>
      <w:szCs w:val="20"/>
    </w:rPr>
  </w:style>
  <w:style w:type="character" w:customStyle="1" w:styleId="a9">
    <w:name w:val="טקסט הערה תו"/>
    <w:basedOn w:val="a0"/>
    <w:link w:val="a8"/>
    <w:rPr>
      <w:rFonts w:cs="David"/>
    </w:rPr>
  </w:style>
  <w:style w:type="paragraph" w:styleId="aa">
    <w:name w:val="annotation subject"/>
    <w:basedOn w:val="a8"/>
    <w:next w:val="a8"/>
    <w:link w:val="ab"/>
    <w:rPr>
      <w:b/>
      <w:bCs/>
    </w:rPr>
  </w:style>
  <w:style w:type="character" w:customStyle="1" w:styleId="ab">
    <w:name w:val="נושא הערה תו"/>
    <w:basedOn w:val="a9"/>
    <w:link w:val="aa"/>
    <w:rPr>
      <w:rFonts w:cs="David"/>
      <w:b/>
      <w:bCs/>
    </w:rPr>
  </w:style>
  <w:style w:type="paragraph" w:styleId="ac">
    <w:name w:val="Balloon Text"/>
    <w:basedOn w:val="a"/>
    <w:link w:val="ad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reme.court.gov.i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החלטה בתיק מ"ח  1689/17</vt:lpstr>
    </vt:vector>
  </TitlesOfParts>
  <Company/>
  <LinksUpToDate>false</LinksUpToDate>
  <CharactersWithSpaces>1153</CharactersWithSpaces>
  <SharedDoc>false</SharedDoc>
  <HLinks>
    <vt:vector size="6" baseType="variant">
      <vt:variant>
        <vt:i4>1966158</vt:i4>
      </vt:variant>
      <vt:variant>
        <vt:i4>12</vt:i4>
      </vt:variant>
      <vt:variant>
        <vt:i4>0</vt:i4>
      </vt:variant>
      <vt:variant>
        <vt:i4>5</vt:i4>
      </vt:variant>
      <vt:variant>
        <vt:lpwstr>http://www.court.gov.il/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ירום הלוי</dc:creator>
  <cp:keywords/>
  <dc:description/>
  <cp:lastModifiedBy>ירום הלוי</cp:lastModifiedBy>
  <cp:revision>2</cp:revision>
  <cp:lastPrinted>2019-02-26T08:03:00Z</cp:lastPrinted>
  <dcterms:created xsi:type="dcterms:W3CDTF">2021-09-03T09:04:00Z</dcterms:created>
  <dcterms:modified xsi:type="dcterms:W3CDTF">2021-09-03T09:04:00Z</dcterms:modified>
</cp:coreProperties>
</file>